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65D2678">
      <w:pPr>
        <w:rPr>
          <w:rFonts w:ascii="仿宋" w:hAnsi="仿宋" w:eastAsia="仿宋" w:cs="仿宋"/>
          <w:highlight w:val="none"/>
        </w:rPr>
      </w:pPr>
    </w:p>
    <w:p w14:paraId="7BB9F049">
      <w:pPr>
        <w:rPr>
          <w:rFonts w:ascii="仿宋" w:hAnsi="仿宋" w:eastAsia="仿宋" w:cs="仿宋"/>
          <w:highlight w:val="none"/>
        </w:rPr>
      </w:pPr>
    </w:p>
    <w:p w14:paraId="66C7188B">
      <w:pPr>
        <w:rPr>
          <w:rFonts w:ascii="仿宋" w:hAnsi="仿宋" w:eastAsia="仿宋" w:cs="仿宋"/>
          <w:highlight w:val="none"/>
        </w:rPr>
      </w:pPr>
    </w:p>
    <w:p w14:paraId="7F91F93C">
      <w:pPr>
        <w:jc w:val="center"/>
        <w:rPr>
          <w:rFonts w:hint="eastAsia" w:ascii="仿宋" w:hAnsi="仿宋" w:eastAsia="仿宋" w:cs="仿宋"/>
          <w:b/>
          <w:sz w:val="30"/>
          <w:szCs w:val="30"/>
          <w:highlight w:val="none"/>
          <w:lang w:eastAsia="zh-CN"/>
        </w:rPr>
      </w:pPr>
      <w:r>
        <w:rPr>
          <w:rFonts w:hint="eastAsia" w:ascii="仿宋" w:hAnsi="仿宋" w:eastAsia="仿宋" w:cs="仿宋"/>
          <w:b/>
          <w:sz w:val="30"/>
          <w:szCs w:val="30"/>
          <w:highlight w:val="none"/>
        </w:rPr>
        <w:t>采购项目编号：SCSWZBB-2026-00</w:t>
      </w:r>
      <w:r>
        <w:rPr>
          <w:rFonts w:hint="eastAsia" w:ascii="仿宋" w:hAnsi="仿宋" w:eastAsia="仿宋" w:cs="仿宋"/>
          <w:b/>
          <w:sz w:val="30"/>
          <w:szCs w:val="30"/>
          <w:highlight w:val="none"/>
          <w:lang w:val="en-US" w:eastAsia="zh-CN"/>
        </w:rPr>
        <w:t>4</w:t>
      </w:r>
    </w:p>
    <w:p w14:paraId="1FADBFDF">
      <w:pPr>
        <w:jc w:val="center"/>
        <w:rPr>
          <w:rFonts w:hint="eastAsia" w:ascii="仿宋" w:hAnsi="仿宋" w:eastAsia="仿宋" w:cs="仿宋"/>
          <w:b/>
          <w:sz w:val="48"/>
          <w:szCs w:val="48"/>
          <w:highlight w:val="none"/>
        </w:rPr>
      </w:pPr>
      <w:r>
        <w:rPr>
          <w:rFonts w:hint="eastAsia" w:ascii="仿宋" w:hAnsi="仿宋" w:eastAsia="仿宋" w:cs="仿宋"/>
          <w:b/>
          <w:sz w:val="48"/>
          <w:szCs w:val="48"/>
          <w:highlight w:val="none"/>
        </w:rPr>
        <w:t>四川商务职业学院</w:t>
      </w:r>
    </w:p>
    <w:p w14:paraId="67827082">
      <w:pPr>
        <w:jc w:val="center"/>
        <w:rPr>
          <w:rFonts w:ascii="仿宋" w:hAnsi="仿宋" w:eastAsia="仿宋" w:cs="仿宋"/>
          <w:b/>
          <w:sz w:val="48"/>
          <w:szCs w:val="48"/>
          <w:highlight w:val="none"/>
        </w:rPr>
      </w:pPr>
      <w:r>
        <w:rPr>
          <w:rFonts w:hint="eastAsia" w:ascii="仿宋" w:hAnsi="仿宋" w:eastAsia="仿宋" w:cs="仿宋"/>
          <w:b/>
          <w:sz w:val="48"/>
          <w:szCs w:val="48"/>
          <w:highlight w:val="none"/>
        </w:rPr>
        <w:t>2026年度审计服务采购项目</w:t>
      </w:r>
    </w:p>
    <w:p w14:paraId="30FCAE94">
      <w:pPr>
        <w:pStyle w:val="22"/>
        <w:rPr>
          <w:rFonts w:ascii="仿宋" w:hAnsi="仿宋" w:eastAsia="仿宋" w:cs="仿宋"/>
          <w:highlight w:val="none"/>
        </w:rPr>
      </w:pPr>
    </w:p>
    <w:p w14:paraId="01E137C2">
      <w:pPr>
        <w:jc w:val="center"/>
        <w:rPr>
          <w:rFonts w:ascii="仿宋" w:hAnsi="仿宋" w:eastAsia="仿宋" w:cs="仿宋"/>
          <w:b/>
          <w:sz w:val="84"/>
          <w:szCs w:val="84"/>
          <w:highlight w:val="none"/>
        </w:rPr>
      </w:pPr>
      <w:r>
        <w:rPr>
          <w:rFonts w:hint="eastAsia" w:ascii="仿宋" w:hAnsi="仿宋" w:eastAsia="仿宋" w:cs="仿宋"/>
          <w:b/>
          <w:sz w:val="84"/>
          <w:szCs w:val="84"/>
          <w:highlight w:val="none"/>
        </w:rPr>
        <w:t>比选文件</w:t>
      </w:r>
    </w:p>
    <w:p w14:paraId="0B6539CD">
      <w:pPr>
        <w:jc w:val="center"/>
        <w:rPr>
          <w:rFonts w:ascii="仿宋" w:hAnsi="仿宋" w:eastAsia="仿宋" w:cs="仿宋"/>
          <w:highlight w:val="none"/>
        </w:rPr>
      </w:pPr>
    </w:p>
    <w:p w14:paraId="0CCCC7D9">
      <w:pPr>
        <w:jc w:val="center"/>
        <w:rPr>
          <w:rFonts w:ascii="仿宋" w:hAnsi="仿宋" w:eastAsia="仿宋" w:cs="仿宋"/>
          <w:highlight w:val="none"/>
        </w:rPr>
      </w:pPr>
    </w:p>
    <w:p w14:paraId="42E32296">
      <w:pPr>
        <w:pStyle w:val="57"/>
        <w:rPr>
          <w:rFonts w:ascii="仿宋" w:hAnsi="仿宋" w:eastAsia="仿宋" w:cs="仿宋"/>
          <w:highlight w:val="none"/>
        </w:rPr>
      </w:pPr>
    </w:p>
    <w:p w14:paraId="503A2B10">
      <w:pPr>
        <w:spacing w:line="360" w:lineRule="auto"/>
        <w:jc w:val="center"/>
        <w:rPr>
          <w:rFonts w:ascii="仿宋" w:hAnsi="仿宋" w:eastAsia="仿宋" w:cs="仿宋"/>
          <w:b/>
          <w:sz w:val="32"/>
          <w:szCs w:val="32"/>
          <w:highlight w:val="none"/>
        </w:rPr>
      </w:pPr>
      <w:r>
        <w:rPr>
          <w:rFonts w:hint="eastAsia" w:ascii="仿宋" w:hAnsi="仿宋" w:eastAsia="仿宋" w:cs="仿宋"/>
          <w:b/>
          <w:sz w:val="32"/>
          <w:szCs w:val="32"/>
          <w:highlight w:val="none"/>
        </w:rPr>
        <w:t>中国·四川</w:t>
      </w:r>
    </w:p>
    <w:p w14:paraId="76456527">
      <w:pPr>
        <w:spacing w:line="360" w:lineRule="auto"/>
        <w:jc w:val="center"/>
        <w:rPr>
          <w:rFonts w:ascii="仿宋" w:hAnsi="仿宋" w:eastAsia="仿宋" w:cs="仿宋"/>
          <w:b/>
          <w:sz w:val="32"/>
          <w:szCs w:val="32"/>
          <w:highlight w:val="none"/>
        </w:rPr>
      </w:pPr>
      <w:r>
        <w:rPr>
          <w:rFonts w:hint="eastAsia" w:ascii="仿宋" w:hAnsi="仿宋" w:eastAsia="仿宋" w:cs="仿宋"/>
          <w:b/>
          <w:sz w:val="32"/>
          <w:szCs w:val="32"/>
          <w:highlight w:val="none"/>
          <w:lang w:eastAsia="zh-CN"/>
        </w:rPr>
        <w:t>四川商务职业学院</w:t>
      </w:r>
      <w:r>
        <w:rPr>
          <w:rFonts w:hint="eastAsia" w:ascii="仿宋" w:hAnsi="仿宋" w:eastAsia="仿宋" w:cs="仿宋"/>
          <w:b/>
          <w:sz w:val="32"/>
          <w:szCs w:val="32"/>
          <w:highlight w:val="none"/>
        </w:rPr>
        <w:t>编制</w:t>
      </w:r>
    </w:p>
    <w:p w14:paraId="1CBFAEB4">
      <w:pPr>
        <w:jc w:val="center"/>
        <w:rPr>
          <w:rFonts w:ascii="仿宋" w:hAnsi="仿宋" w:eastAsia="仿宋" w:cs="仿宋"/>
          <w:b/>
          <w:sz w:val="32"/>
          <w:szCs w:val="32"/>
          <w:highlight w:val="none"/>
        </w:rPr>
      </w:pPr>
      <w:r>
        <w:rPr>
          <w:rFonts w:hint="eastAsia" w:ascii="仿宋" w:hAnsi="仿宋" w:eastAsia="仿宋" w:cs="仿宋"/>
          <w:b/>
          <w:sz w:val="32"/>
          <w:szCs w:val="32"/>
          <w:highlight w:val="none"/>
        </w:rPr>
        <w:t>202</w:t>
      </w:r>
      <w:r>
        <w:rPr>
          <w:rFonts w:hint="eastAsia" w:ascii="仿宋" w:hAnsi="仿宋" w:eastAsia="仿宋" w:cs="仿宋"/>
          <w:b/>
          <w:sz w:val="32"/>
          <w:szCs w:val="32"/>
          <w:highlight w:val="none"/>
          <w:lang w:val="en-US" w:eastAsia="zh-CN"/>
        </w:rPr>
        <w:t>6</w:t>
      </w:r>
      <w:r>
        <w:rPr>
          <w:rFonts w:hint="eastAsia" w:ascii="仿宋" w:hAnsi="仿宋" w:eastAsia="仿宋" w:cs="仿宋"/>
          <w:b/>
          <w:sz w:val="32"/>
          <w:szCs w:val="32"/>
          <w:highlight w:val="none"/>
        </w:rPr>
        <w:t>年</w:t>
      </w:r>
      <w:r>
        <w:rPr>
          <w:rFonts w:hint="eastAsia" w:ascii="仿宋" w:hAnsi="仿宋" w:eastAsia="仿宋" w:cs="仿宋"/>
          <w:b/>
          <w:sz w:val="32"/>
          <w:szCs w:val="32"/>
          <w:highlight w:val="none"/>
          <w:lang w:val="en-US" w:eastAsia="zh-CN"/>
        </w:rPr>
        <w:t>4</w:t>
      </w:r>
      <w:r>
        <w:rPr>
          <w:rFonts w:hint="eastAsia" w:ascii="仿宋" w:hAnsi="仿宋" w:eastAsia="仿宋" w:cs="仿宋"/>
          <w:b/>
          <w:sz w:val="32"/>
          <w:szCs w:val="32"/>
          <w:highlight w:val="none"/>
        </w:rPr>
        <w:t>月</w:t>
      </w:r>
    </w:p>
    <w:p w14:paraId="5658B8CE">
      <w:pPr>
        <w:rPr>
          <w:rFonts w:ascii="仿宋" w:hAnsi="仿宋" w:eastAsia="仿宋" w:cs="仿宋"/>
          <w:b/>
          <w:sz w:val="32"/>
          <w:szCs w:val="32"/>
          <w:highlight w:val="none"/>
        </w:rPr>
        <w:sectPr>
          <w:headerReference r:id="rId4" w:type="first"/>
          <w:headerReference r:id="rId3" w:type="default"/>
          <w:footerReference r:id="rId5" w:type="default"/>
          <w:type w:val="continuous"/>
          <w:pgSz w:w="11906" w:h="16838"/>
          <w:pgMar w:top="1440" w:right="1800" w:bottom="1440" w:left="1800" w:header="851" w:footer="992" w:gutter="0"/>
          <w:cols w:space="720" w:num="1"/>
          <w:titlePg/>
          <w:docGrid w:type="lines" w:linePitch="312" w:charSpace="0"/>
        </w:sectPr>
      </w:pPr>
    </w:p>
    <w:p w14:paraId="6B95C384">
      <w:pPr>
        <w:pStyle w:val="229"/>
        <w:jc w:val="center"/>
        <w:rPr>
          <w:rFonts w:ascii="仿宋" w:hAnsi="仿宋" w:eastAsia="仿宋" w:cs="仿宋"/>
          <w:b/>
          <w:bCs/>
          <w:color w:val="auto"/>
          <w:sz w:val="52"/>
          <w:szCs w:val="52"/>
          <w:highlight w:val="none"/>
        </w:rPr>
      </w:pPr>
      <w:r>
        <w:rPr>
          <w:rFonts w:hint="eastAsia" w:ascii="仿宋" w:hAnsi="仿宋" w:eastAsia="仿宋" w:cs="仿宋"/>
          <w:b/>
          <w:bCs/>
          <w:color w:val="auto"/>
          <w:sz w:val="52"/>
          <w:szCs w:val="52"/>
          <w:highlight w:val="none"/>
          <w:lang w:val="zh-CN"/>
        </w:rPr>
        <w:t>目 录</w:t>
      </w:r>
    </w:p>
    <w:p w14:paraId="5CC32EE8">
      <w:pPr>
        <w:pStyle w:val="37"/>
        <w:tabs>
          <w:tab w:val="right" w:leader="dot" w:pos="8313"/>
          <w:tab w:val="clear" w:pos="1260"/>
          <w:tab w:val="clear" w:pos="1685"/>
          <w:tab w:val="clear" w:pos="8400"/>
        </w:tabs>
        <w:spacing w:line="360" w:lineRule="auto"/>
        <w:rPr>
          <w:rFonts w:ascii="仿宋" w:hAnsi="仿宋" w:eastAsia="仿宋" w:cs="仿宋"/>
          <w:highlight w:val="none"/>
        </w:rPr>
      </w:pPr>
      <w:r>
        <w:rPr>
          <w:rFonts w:hint="eastAsia" w:ascii="仿宋" w:hAnsi="仿宋" w:eastAsia="仿宋" w:cs="仿宋"/>
          <w:b/>
          <w:bCs/>
          <w:sz w:val="18"/>
          <w:szCs w:val="18"/>
          <w:highlight w:val="none"/>
        </w:rPr>
        <w:fldChar w:fldCharType="begin"/>
      </w:r>
      <w:r>
        <w:rPr>
          <w:rFonts w:hint="eastAsia" w:ascii="仿宋" w:hAnsi="仿宋" w:eastAsia="仿宋" w:cs="仿宋"/>
          <w:b/>
          <w:bCs/>
          <w:sz w:val="18"/>
          <w:szCs w:val="18"/>
          <w:highlight w:val="none"/>
        </w:rPr>
        <w:instrText xml:space="preserve"> TOC \o "1-1" \h \z \u </w:instrText>
      </w:r>
      <w:r>
        <w:rPr>
          <w:rFonts w:hint="eastAsia" w:ascii="仿宋" w:hAnsi="仿宋" w:eastAsia="仿宋" w:cs="仿宋"/>
          <w:b/>
          <w:bCs/>
          <w:sz w:val="18"/>
          <w:szCs w:val="18"/>
          <w:highlight w:val="none"/>
        </w:rPr>
        <w:fldChar w:fldCharType="separate"/>
      </w:r>
      <w:r>
        <w:rPr>
          <w:highlight w:val="none"/>
        </w:rPr>
        <w:fldChar w:fldCharType="begin"/>
      </w:r>
      <w:r>
        <w:rPr>
          <w:highlight w:val="none"/>
        </w:rPr>
        <w:instrText xml:space="preserve"> HYPERLINK \l "_Toc16030" </w:instrText>
      </w:r>
      <w:r>
        <w:rPr>
          <w:highlight w:val="none"/>
        </w:rPr>
        <w:fldChar w:fldCharType="separate"/>
      </w:r>
      <w:r>
        <w:rPr>
          <w:rFonts w:hint="eastAsia" w:ascii="仿宋" w:hAnsi="仿宋" w:eastAsia="仿宋" w:cs="仿宋"/>
          <w:highlight w:val="none"/>
        </w:rPr>
        <w:t>第一章 比选邀请</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_Toc16030 \h </w:instrText>
      </w:r>
      <w:r>
        <w:rPr>
          <w:rFonts w:hint="eastAsia" w:ascii="仿宋" w:hAnsi="仿宋" w:eastAsia="仿宋" w:cs="仿宋"/>
          <w:highlight w:val="none"/>
        </w:rPr>
        <w:fldChar w:fldCharType="separate"/>
      </w:r>
      <w:r>
        <w:rPr>
          <w:rFonts w:ascii="仿宋" w:hAnsi="仿宋" w:eastAsia="仿宋" w:cs="仿宋"/>
          <w:highlight w:val="none"/>
        </w:rPr>
        <w:t>1</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0387E57C">
      <w:pPr>
        <w:pStyle w:val="37"/>
        <w:tabs>
          <w:tab w:val="right" w:leader="dot" w:pos="8313"/>
          <w:tab w:val="clear" w:pos="1260"/>
          <w:tab w:val="clear" w:pos="1685"/>
          <w:tab w:val="clear" w:pos="8400"/>
        </w:tabs>
        <w:spacing w:line="360" w:lineRule="auto"/>
        <w:rPr>
          <w:rFonts w:ascii="仿宋" w:hAnsi="仿宋" w:eastAsia="仿宋" w:cs="仿宋"/>
          <w:highlight w:val="none"/>
        </w:rPr>
      </w:pPr>
      <w:r>
        <w:rPr>
          <w:highlight w:val="none"/>
        </w:rPr>
        <w:fldChar w:fldCharType="begin"/>
      </w:r>
      <w:r>
        <w:rPr>
          <w:highlight w:val="none"/>
        </w:rPr>
        <w:instrText xml:space="preserve"> HYPERLINK \l "_Toc8011" </w:instrText>
      </w:r>
      <w:r>
        <w:rPr>
          <w:highlight w:val="none"/>
        </w:rPr>
        <w:fldChar w:fldCharType="separate"/>
      </w:r>
      <w:r>
        <w:rPr>
          <w:rFonts w:hint="eastAsia" w:ascii="仿宋" w:hAnsi="仿宋" w:eastAsia="仿宋" w:cs="仿宋"/>
          <w:highlight w:val="none"/>
        </w:rPr>
        <w:t>第二章 比选申请人须知</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_Toc8011 \h </w:instrText>
      </w:r>
      <w:r>
        <w:rPr>
          <w:rFonts w:hint="eastAsia" w:ascii="仿宋" w:hAnsi="仿宋" w:eastAsia="仿宋" w:cs="仿宋"/>
          <w:highlight w:val="none"/>
        </w:rPr>
        <w:fldChar w:fldCharType="separate"/>
      </w:r>
      <w:r>
        <w:rPr>
          <w:rFonts w:ascii="仿宋" w:hAnsi="仿宋" w:eastAsia="仿宋" w:cs="仿宋"/>
          <w:highlight w:val="none"/>
        </w:rPr>
        <w:t>3</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1D5E908D">
      <w:pPr>
        <w:pStyle w:val="37"/>
        <w:tabs>
          <w:tab w:val="right" w:leader="dot" w:pos="8313"/>
          <w:tab w:val="clear" w:pos="1260"/>
          <w:tab w:val="clear" w:pos="1685"/>
          <w:tab w:val="clear" w:pos="8400"/>
        </w:tabs>
        <w:spacing w:line="360" w:lineRule="auto"/>
        <w:rPr>
          <w:rFonts w:ascii="仿宋" w:hAnsi="仿宋" w:eastAsia="仿宋" w:cs="仿宋"/>
          <w:highlight w:val="none"/>
        </w:rPr>
      </w:pPr>
      <w:r>
        <w:rPr>
          <w:highlight w:val="none"/>
        </w:rPr>
        <w:fldChar w:fldCharType="begin"/>
      </w:r>
      <w:r>
        <w:rPr>
          <w:highlight w:val="none"/>
        </w:rPr>
        <w:instrText xml:space="preserve"> HYPERLINK \l "_Toc1513" </w:instrText>
      </w:r>
      <w:r>
        <w:rPr>
          <w:highlight w:val="none"/>
        </w:rPr>
        <w:fldChar w:fldCharType="separate"/>
      </w:r>
      <w:r>
        <w:rPr>
          <w:rFonts w:hint="eastAsia" w:ascii="仿宋" w:hAnsi="仿宋" w:eastAsia="仿宋" w:cs="仿宋"/>
          <w:highlight w:val="none"/>
        </w:rPr>
        <w:t>第三章 部分响应文件格式</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_Toc1513 \h </w:instrText>
      </w:r>
      <w:r>
        <w:rPr>
          <w:rFonts w:hint="eastAsia" w:ascii="仿宋" w:hAnsi="仿宋" w:eastAsia="仿宋" w:cs="仿宋"/>
          <w:highlight w:val="none"/>
        </w:rPr>
        <w:fldChar w:fldCharType="separate"/>
      </w:r>
      <w:r>
        <w:rPr>
          <w:rFonts w:ascii="仿宋" w:hAnsi="仿宋" w:eastAsia="仿宋" w:cs="仿宋"/>
          <w:highlight w:val="none"/>
        </w:rPr>
        <w:t>15</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23954226">
      <w:pPr>
        <w:pStyle w:val="37"/>
        <w:tabs>
          <w:tab w:val="right" w:leader="dot" w:pos="8313"/>
          <w:tab w:val="clear" w:pos="1260"/>
          <w:tab w:val="clear" w:pos="1685"/>
          <w:tab w:val="clear" w:pos="8400"/>
        </w:tabs>
        <w:spacing w:line="360" w:lineRule="auto"/>
        <w:rPr>
          <w:rFonts w:ascii="仿宋" w:hAnsi="仿宋" w:eastAsia="仿宋" w:cs="仿宋"/>
          <w:highlight w:val="none"/>
        </w:rPr>
      </w:pPr>
      <w:r>
        <w:rPr>
          <w:highlight w:val="none"/>
        </w:rPr>
        <w:fldChar w:fldCharType="begin"/>
      </w:r>
      <w:r>
        <w:rPr>
          <w:highlight w:val="none"/>
        </w:rPr>
        <w:instrText xml:space="preserve"> HYPERLINK \l "_Toc2447" </w:instrText>
      </w:r>
      <w:r>
        <w:rPr>
          <w:highlight w:val="none"/>
        </w:rPr>
        <w:fldChar w:fldCharType="separate"/>
      </w:r>
      <w:r>
        <w:rPr>
          <w:rFonts w:hint="eastAsia" w:ascii="仿宋" w:hAnsi="仿宋" w:eastAsia="仿宋" w:cs="仿宋"/>
          <w:highlight w:val="none"/>
        </w:rPr>
        <w:t>第四章 比选申请人应当提供的资格条件证明材料</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_Toc2447 \h </w:instrText>
      </w:r>
      <w:r>
        <w:rPr>
          <w:rFonts w:hint="eastAsia" w:ascii="仿宋" w:hAnsi="仿宋" w:eastAsia="仿宋" w:cs="仿宋"/>
          <w:highlight w:val="none"/>
        </w:rPr>
        <w:fldChar w:fldCharType="separate"/>
      </w:r>
      <w:r>
        <w:rPr>
          <w:rFonts w:ascii="仿宋" w:hAnsi="仿宋" w:eastAsia="仿宋" w:cs="仿宋"/>
          <w:highlight w:val="none"/>
        </w:rPr>
        <w:t>28</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0CD72EE5">
      <w:pPr>
        <w:pStyle w:val="37"/>
        <w:tabs>
          <w:tab w:val="right" w:leader="dot" w:pos="8313"/>
          <w:tab w:val="clear" w:pos="1260"/>
          <w:tab w:val="clear" w:pos="1685"/>
          <w:tab w:val="clear" w:pos="8400"/>
        </w:tabs>
        <w:spacing w:line="360" w:lineRule="auto"/>
        <w:rPr>
          <w:rFonts w:ascii="仿宋" w:hAnsi="仿宋" w:eastAsia="仿宋" w:cs="仿宋"/>
          <w:highlight w:val="none"/>
        </w:rPr>
      </w:pPr>
      <w:r>
        <w:rPr>
          <w:highlight w:val="none"/>
        </w:rPr>
        <w:fldChar w:fldCharType="begin"/>
      </w:r>
      <w:r>
        <w:rPr>
          <w:highlight w:val="none"/>
        </w:rPr>
        <w:instrText xml:space="preserve"> HYPERLINK \l "_Toc9167" </w:instrText>
      </w:r>
      <w:r>
        <w:rPr>
          <w:highlight w:val="none"/>
        </w:rPr>
        <w:fldChar w:fldCharType="separate"/>
      </w:r>
      <w:r>
        <w:rPr>
          <w:rFonts w:hint="eastAsia" w:ascii="仿宋" w:hAnsi="仿宋" w:eastAsia="仿宋" w:cs="仿宋"/>
          <w:highlight w:val="none"/>
        </w:rPr>
        <w:t>第五章 比选项目技术、服务、采购合同内容条款及其他商务要求</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_Toc9167 \h </w:instrText>
      </w:r>
      <w:r>
        <w:rPr>
          <w:rFonts w:hint="eastAsia" w:ascii="仿宋" w:hAnsi="仿宋" w:eastAsia="仿宋" w:cs="仿宋"/>
          <w:highlight w:val="none"/>
        </w:rPr>
        <w:fldChar w:fldCharType="separate"/>
      </w:r>
      <w:r>
        <w:rPr>
          <w:rFonts w:ascii="仿宋" w:hAnsi="仿宋" w:eastAsia="仿宋" w:cs="仿宋"/>
          <w:highlight w:val="none"/>
        </w:rPr>
        <w:t>30</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599F902D">
      <w:pPr>
        <w:pStyle w:val="37"/>
        <w:tabs>
          <w:tab w:val="right" w:leader="dot" w:pos="8313"/>
          <w:tab w:val="clear" w:pos="1260"/>
          <w:tab w:val="clear" w:pos="1685"/>
          <w:tab w:val="clear" w:pos="8400"/>
        </w:tabs>
        <w:spacing w:line="360" w:lineRule="auto"/>
        <w:rPr>
          <w:rFonts w:ascii="仿宋" w:hAnsi="仿宋" w:eastAsia="仿宋" w:cs="仿宋"/>
          <w:highlight w:val="none"/>
        </w:rPr>
      </w:pPr>
      <w:r>
        <w:rPr>
          <w:highlight w:val="none"/>
        </w:rPr>
        <w:fldChar w:fldCharType="begin"/>
      </w:r>
      <w:r>
        <w:rPr>
          <w:highlight w:val="none"/>
        </w:rPr>
        <w:instrText xml:space="preserve"> HYPERLINK \l "_Toc17001" </w:instrText>
      </w:r>
      <w:r>
        <w:rPr>
          <w:highlight w:val="none"/>
        </w:rPr>
        <w:fldChar w:fldCharType="separate"/>
      </w:r>
      <w:r>
        <w:rPr>
          <w:rFonts w:hint="eastAsia" w:ascii="仿宋" w:hAnsi="仿宋" w:eastAsia="仿宋" w:cs="仿宋"/>
          <w:highlight w:val="none"/>
        </w:rPr>
        <w:t>第六章 评审办法</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_Toc17001 \h </w:instrText>
      </w:r>
      <w:r>
        <w:rPr>
          <w:rFonts w:hint="eastAsia" w:ascii="仿宋" w:hAnsi="仿宋" w:eastAsia="仿宋" w:cs="仿宋"/>
          <w:highlight w:val="none"/>
        </w:rPr>
        <w:fldChar w:fldCharType="separate"/>
      </w:r>
      <w:r>
        <w:rPr>
          <w:rFonts w:ascii="仿宋" w:hAnsi="仿宋" w:eastAsia="仿宋" w:cs="仿宋"/>
          <w:highlight w:val="none"/>
        </w:rPr>
        <w:t>30</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2E6751DC">
      <w:pPr>
        <w:pStyle w:val="37"/>
        <w:tabs>
          <w:tab w:val="right" w:leader="dot" w:pos="8313"/>
          <w:tab w:val="clear" w:pos="1260"/>
          <w:tab w:val="clear" w:pos="1685"/>
          <w:tab w:val="clear" w:pos="8400"/>
        </w:tabs>
        <w:spacing w:line="360" w:lineRule="auto"/>
        <w:rPr>
          <w:rFonts w:ascii="仿宋" w:hAnsi="仿宋" w:eastAsia="仿宋" w:cs="仿宋"/>
          <w:highlight w:val="none"/>
        </w:rPr>
      </w:pPr>
      <w:r>
        <w:rPr>
          <w:highlight w:val="none"/>
        </w:rPr>
        <w:fldChar w:fldCharType="begin"/>
      </w:r>
      <w:r>
        <w:rPr>
          <w:highlight w:val="none"/>
        </w:rPr>
        <w:instrText xml:space="preserve"> HYPERLINK \l "_Toc18369" </w:instrText>
      </w:r>
      <w:r>
        <w:rPr>
          <w:highlight w:val="none"/>
        </w:rPr>
        <w:fldChar w:fldCharType="separate"/>
      </w:r>
      <w:r>
        <w:rPr>
          <w:rFonts w:hint="eastAsia" w:ascii="仿宋" w:hAnsi="仿宋" w:eastAsia="仿宋" w:cs="仿宋"/>
          <w:highlight w:val="none"/>
        </w:rPr>
        <w:t>第七章 合同主要条款（仅供参考）</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_Toc18369 \h </w:instrText>
      </w:r>
      <w:r>
        <w:rPr>
          <w:rFonts w:hint="eastAsia" w:ascii="仿宋" w:hAnsi="仿宋" w:eastAsia="仿宋" w:cs="仿宋"/>
          <w:highlight w:val="none"/>
        </w:rPr>
        <w:fldChar w:fldCharType="separate"/>
      </w:r>
      <w:r>
        <w:rPr>
          <w:rFonts w:ascii="仿宋" w:hAnsi="仿宋" w:eastAsia="仿宋" w:cs="仿宋"/>
          <w:highlight w:val="none"/>
        </w:rPr>
        <w:t>36</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07284E9B">
      <w:pPr>
        <w:spacing w:line="360" w:lineRule="auto"/>
        <w:rPr>
          <w:rFonts w:ascii="仿宋" w:hAnsi="仿宋" w:eastAsia="仿宋" w:cs="仿宋"/>
          <w:b/>
          <w:bCs/>
          <w:highlight w:val="none"/>
          <w:lang w:val="zh-CN"/>
        </w:rPr>
      </w:pPr>
      <w:r>
        <w:rPr>
          <w:rFonts w:hint="eastAsia" w:ascii="仿宋" w:hAnsi="仿宋" w:eastAsia="仿宋" w:cs="仿宋"/>
          <w:bCs/>
          <w:szCs w:val="18"/>
          <w:highlight w:val="none"/>
        </w:rPr>
        <w:fldChar w:fldCharType="end"/>
      </w:r>
    </w:p>
    <w:p w14:paraId="741E2C17">
      <w:pPr>
        <w:rPr>
          <w:rFonts w:ascii="仿宋" w:hAnsi="仿宋" w:eastAsia="仿宋" w:cs="仿宋"/>
          <w:b/>
          <w:bCs/>
          <w:highlight w:val="none"/>
          <w:lang w:val="zh-CN"/>
        </w:rPr>
      </w:pPr>
    </w:p>
    <w:p w14:paraId="11AB0D23">
      <w:pPr>
        <w:rPr>
          <w:rFonts w:ascii="仿宋" w:hAnsi="仿宋" w:eastAsia="仿宋" w:cs="仿宋"/>
          <w:b/>
          <w:bCs/>
          <w:highlight w:val="none"/>
          <w:lang w:val="zh-CN"/>
        </w:rPr>
      </w:pPr>
    </w:p>
    <w:p w14:paraId="4AD71ED9">
      <w:pPr>
        <w:rPr>
          <w:rFonts w:ascii="仿宋" w:hAnsi="仿宋" w:eastAsia="仿宋" w:cs="仿宋"/>
          <w:b/>
          <w:bCs/>
          <w:highlight w:val="none"/>
          <w:lang w:val="zh-CN"/>
        </w:rPr>
      </w:pPr>
    </w:p>
    <w:p w14:paraId="4B698B5F">
      <w:pPr>
        <w:rPr>
          <w:rFonts w:ascii="仿宋" w:hAnsi="仿宋" w:eastAsia="仿宋" w:cs="仿宋"/>
          <w:b/>
          <w:bCs/>
          <w:highlight w:val="none"/>
          <w:lang w:val="zh-CN"/>
        </w:rPr>
      </w:pPr>
    </w:p>
    <w:p w14:paraId="7303DCE2">
      <w:pPr>
        <w:pStyle w:val="37"/>
        <w:rPr>
          <w:rFonts w:ascii="仿宋" w:hAnsi="仿宋" w:eastAsia="仿宋" w:cs="仿宋"/>
          <w:highlight w:val="none"/>
          <w:lang w:val="zh-CN"/>
        </w:rPr>
        <w:sectPr>
          <w:footerReference r:id="rId6" w:type="default"/>
          <w:pgSz w:w="11907" w:h="16840"/>
          <w:pgMar w:top="1140" w:right="1797" w:bottom="1140" w:left="1797" w:header="964" w:footer="992" w:gutter="0"/>
          <w:cols w:space="720" w:num="1"/>
          <w:titlePg/>
          <w:docGrid w:type="linesAndChars" w:linePitch="381" w:charSpace="0"/>
        </w:sectPr>
      </w:pPr>
      <w:r>
        <w:rPr>
          <w:rFonts w:hint="eastAsia" w:ascii="仿宋" w:hAnsi="仿宋" w:eastAsia="仿宋" w:cs="仿宋"/>
          <w:b/>
          <w:bCs/>
          <w:highlight w:val="none"/>
          <w:lang w:val="zh-CN"/>
        </w:rPr>
        <w:tab/>
      </w:r>
    </w:p>
    <w:p w14:paraId="569C1FED">
      <w:pPr>
        <w:pStyle w:val="2"/>
        <w:spacing w:before="381" w:after="190" w:line="500" w:lineRule="exact"/>
        <w:rPr>
          <w:rFonts w:ascii="仿宋" w:hAnsi="仿宋" w:eastAsia="仿宋" w:cs="仿宋"/>
          <w:b/>
          <w:highlight w:val="none"/>
        </w:rPr>
      </w:pPr>
      <w:bookmarkStart w:id="0" w:name="_Toc16030"/>
      <w:bookmarkStart w:id="1" w:name="_Toc453767376"/>
      <w:r>
        <w:rPr>
          <w:rFonts w:hint="eastAsia" w:ascii="仿宋" w:hAnsi="仿宋" w:eastAsia="仿宋" w:cs="仿宋"/>
          <w:b/>
          <w:highlight w:val="none"/>
        </w:rPr>
        <w:t>第一章 比选邀请</w:t>
      </w:r>
      <w:bookmarkEnd w:id="0"/>
      <w:bookmarkEnd w:id="1"/>
    </w:p>
    <w:p w14:paraId="1B520246">
      <w:pPr>
        <w:snapToGrid w:val="0"/>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ab/>
      </w:r>
      <w:r>
        <w:rPr>
          <w:rFonts w:hint="eastAsia" w:ascii="仿宋" w:hAnsi="仿宋" w:eastAsia="仿宋" w:cs="仿宋"/>
          <w:sz w:val="24"/>
          <w:szCs w:val="24"/>
          <w:highlight w:val="none"/>
        </w:rPr>
        <w:tab/>
      </w:r>
      <w:r>
        <w:rPr>
          <w:rFonts w:hint="eastAsia" w:ascii="仿宋" w:hAnsi="仿宋" w:eastAsia="仿宋" w:cs="仿宋"/>
          <w:b/>
          <w:sz w:val="24"/>
          <w:szCs w:val="24"/>
          <w:highlight w:val="none"/>
          <w:u w:val="single"/>
        </w:rPr>
        <w:t>四川商务职业学院</w:t>
      </w:r>
      <w:r>
        <w:rPr>
          <w:rFonts w:hint="eastAsia" w:ascii="仿宋" w:hAnsi="仿宋" w:eastAsia="仿宋" w:cs="仿宋"/>
          <w:sz w:val="24"/>
          <w:szCs w:val="24"/>
          <w:highlight w:val="none"/>
        </w:rPr>
        <w:t>拟对“</w:t>
      </w:r>
      <w:r>
        <w:rPr>
          <w:rFonts w:hint="eastAsia" w:ascii="仿宋" w:hAnsi="仿宋" w:eastAsia="仿宋" w:cs="仿宋"/>
          <w:b/>
          <w:sz w:val="24"/>
          <w:szCs w:val="24"/>
          <w:highlight w:val="none"/>
          <w:u w:val="single"/>
          <w:lang w:val="en-US" w:eastAsia="zh-CN"/>
        </w:rPr>
        <w:t>四川商务职业学院</w:t>
      </w:r>
      <w:r>
        <w:rPr>
          <w:rFonts w:hint="eastAsia" w:ascii="仿宋" w:hAnsi="仿宋" w:eastAsia="仿宋" w:cs="仿宋"/>
          <w:b/>
          <w:sz w:val="24"/>
          <w:szCs w:val="24"/>
          <w:highlight w:val="none"/>
          <w:u w:val="single"/>
        </w:rPr>
        <w:t>2026年度审计服务采购项目</w:t>
      </w:r>
      <w:r>
        <w:rPr>
          <w:rFonts w:hint="eastAsia" w:ascii="仿宋" w:hAnsi="仿宋" w:eastAsia="仿宋" w:cs="仿宋"/>
          <w:sz w:val="24"/>
          <w:szCs w:val="24"/>
          <w:highlight w:val="none"/>
        </w:rPr>
        <w:t>”以比选方式进行采购，现邀请符合本次比选要求的比选申请人参加本项目比选。</w:t>
      </w:r>
    </w:p>
    <w:p w14:paraId="6819EFF1">
      <w:pPr>
        <w:pStyle w:val="3"/>
        <w:spacing w:line="460" w:lineRule="exact"/>
        <w:ind w:firstLine="482"/>
        <w:rPr>
          <w:rFonts w:ascii="仿宋" w:hAnsi="仿宋" w:eastAsia="仿宋" w:cs="仿宋"/>
          <w:sz w:val="24"/>
          <w:szCs w:val="24"/>
          <w:highlight w:val="none"/>
        </w:rPr>
      </w:pPr>
      <w:bookmarkStart w:id="2" w:name="_Toc453767377"/>
      <w:r>
        <w:rPr>
          <w:rFonts w:hint="eastAsia" w:ascii="仿宋" w:hAnsi="仿宋" w:eastAsia="仿宋" w:cs="仿宋"/>
          <w:sz w:val="24"/>
          <w:szCs w:val="24"/>
          <w:highlight w:val="none"/>
        </w:rPr>
        <w:t>一、采购项目</w:t>
      </w:r>
      <w:bookmarkEnd w:id="2"/>
      <w:r>
        <w:rPr>
          <w:rFonts w:hint="eastAsia" w:ascii="仿宋" w:hAnsi="仿宋" w:eastAsia="仿宋" w:cs="仿宋"/>
          <w:sz w:val="24"/>
          <w:szCs w:val="24"/>
          <w:highlight w:val="none"/>
        </w:rPr>
        <w:t>概况</w:t>
      </w:r>
    </w:p>
    <w:p w14:paraId="207ABAE3">
      <w:pPr>
        <w:spacing w:line="4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1、项目名称：</w:t>
      </w:r>
      <w:r>
        <w:rPr>
          <w:rFonts w:hint="eastAsia" w:ascii="仿宋" w:hAnsi="仿宋" w:eastAsia="仿宋" w:cs="仿宋"/>
          <w:b/>
          <w:sz w:val="24"/>
          <w:szCs w:val="24"/>
          <w:highlight w:val="none"/>
          <w:u w:val="single"/>
          <w:lang w:val="en-US" w:eastAsia="zh-CN"/>
        </w:rPr>
        <w:t>四川商务职业学院</w:t>
      </w:r>
      <w:r>
        <w:rPr>
          <w:rFonts w:hint="eastAsia" w:ascii="仿宋" w:hAnsi="仿宋" w:eastAsia="仿宋" w:cs="仿宋"/>
          <w:b/>
          <w:sz w:val="24"/>
          <w:szCs w:val="24"/>
          <w:highlight w:val="none"/>
          <w:u w:val="single"/>
        </w:rPr>
        <w:t>2026年度审计服务采购项目</w:t>
      </w:r>
      <w:r>
        <w:rPr>
          <w:rFonts w:hint="eastAsia" w:ascii="仿宋" w:hAnsi="仿宋" w:eastAsia="仿宋" w:cs="仿宋"/>
          <w:sz w:val="24"/>
          <w:szCs w:val="24"/>
          <w:highlight w:val="none"/>
        </w:rPr>
        <w:t>。</w:t>
      </w:r>
    </w:p>
    <w:p w14:paraId="678BCF93">
      <w:pPr>
        <w:spacing w:line="4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2、采购项目编号：SCSWZBB-2026-004</w:t>
      </w:r>
    </w:p>
    <w:p w14:paraId="1898D51B">
      <w:pPr>
        <w:spacing w:line="4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3、采购预算：</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万元。</w:t>
      </w:r>
    </w:p>
    <w:p w14:paraId="2F2DD295">
      <w:pPr>
        <w:pStyle w:val="3"/>
        <w:spacing w:line="460" w:lineRule="exact"/>
        <w:ind w:firstLine="482"/>
        <w:rPr>
          <w:rFonts w:ascii="仿宋" w:hAnsi="仿宋" w:eastAsia="仿宋" w:cs="仿宋"/>
          <w:sz w:val="24"/>
          <w:szCs w:val="24"/>
          <w:highlight w:val="none"/>
        </w:rPr>
      </w:pPr>
      <w:bookmarkStart w:id="3" w:name="_Toc453767379"/>
      <w:r>
        <w:rPr>
          <w:rFonts w:hint="eastAsia" w:ascii="仿宋" w:hAnsi="仿宋" w:eastAsia="仿宋" w:cs="仿宋"/>
          <w:sz w:val="24"/>
          <w:szCs w:val="24"/>
          <w:highlight w:val="none"/>
        </w:rPr>
        <w:t>二、</w:t>
      </w:r>
      <w:bookmarkEnd w:id="3"/>
      <w:r>
        <w:rPr>
          <w:rFonts w:hint="eastAsia" w:ascii="仿宋" w:hAnsi="仿宋" w:eastAsia="仿宋" w:cs="仿宋"/>
          <w:sz w:val="24"/>
          <w:szCs w:val="24"/>
          <w:highlight w:val="none"/>
        </w:rPr>
        <w:t>比选申请人资格要求</w:t>
      </w:r>
    </w:p>
    <w:p w14:paraId="6E082CDB">
      <w:pPr>
        <w:wordWrap w:val="0"/>
        <w:spacing w:line="460" w:lineRule="exact"/>
        <w:ind w:firstLine="480" w:firstLineChars="200"/>
        <w:rPr>
          <w:rFonts w:ascii="仿宋" w:hAnsi="仿宋" w:eastAsia="仿宋" w:cs="仿宋"/>
          <w:sz w:val="24"/>
          <w:szCs w:val="24"/>
          <w:highlight w:val="none"/>
        </w:rPr>
      </w:pPr>
      <w:bookmarkStart w:id="4" w:name="_Toc453767380"/>
      <w:r>
        <w:rPr>
          <w:rFonts w:hint="eastAsia" w:ascii="仿宋" w:hAnsi="仿宋" w:eastAsia="仿宋" w:cs="仿宋"/>
          <w:sz w:val="24"/>
          <w:szCs w:val="24"/>
          <w:highlight w:val="none"/>
        </w:rPr>
        <w:t>1、具有独立承担民事责任的能力；</w:t>
      </w:r>
    </w:p>
    <w:p w14:paraId="3D621B7C">
      <w:pPr>
        <w:wordWrap w:val="0"/>
        <w:spacing w:line="4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2、具有良好的商业信誉和健全的财务会计制度；</w:t>
      </w:r>
    </w:p>
    <w:p w14:paraId="010A26D3">
      <w:pPr>
        <w:wordWrap w:val="0"/>
        <w:spacing w:line="4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3、具有履行合同所必需的设备和专业技术能力；</w:t>
      </w:r>
    </w:p>
    <w:p w14:paraId="4B5383C4">
      <w:pPr>
        <w:wordWrap w:val="0"/>
        <w:spacing w:line="4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4、有依法缴纳税收和社会保障资金的良好记录；</w:t>
      </w:r>
    </w:p>
    <w:p w14:paraId="268F8593">
      <w:pPr>
        <w:wordWrap w:val="0"/>
        <w:spacing w:line="4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5、参加本次采购活动前三年内，在经营活动中没有重大违法记录；</w:t>
      </w:r>
    </w:p>
    <w:p w14:paraId="4AD53FA9">
      <w:pPr>
        <w:wordWrap w:val="0"/>
        <w:spacing w:line="4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6、法律、行政法规规定的其他条件。</w:t>
      </w:r>
    </w:p>
    <w:p w14:paraId="558FC067">
      <w:pPr>
        <w:wordWrap w:val="0"/>
        <w:spacing w:line="360" w:lineRule="auto"/>
        <w:ind w:firstLine="488"/>
        <w:jc w:val="left"/>
        <w:rPr>
          <w:rFonts w:ascii="仿宋" w:hAnsi="仿宋" w:eastAsia="仿宋" w:cs="仿宋"/>
          <w:spacing w:val="2"/>
          <w:sz w:val="24"/>
          <w:szCs w:val="24"/>
          <w:highlight w:val="none"/>
        </w:rPr>
      </w:pPr>
      <w:r>
        <w:rPr>
          <w:rFonts w:hint="eastAsia" w:ascii="仿宋" w:hAnsi="仿宋" w:eastAsia="仿宋" w:cs="仿宋"/>
          <w:spacing w:val="2"/>
          <w:sz w:val="24"/>
          <w:szCs w:val="24"/>
          <w:highlight w:val="none"/>
        </w:rPr>
        <w:t>7、本项目参加采购活动的比选申请人、法定代表人、主要负责人近三年内不得具有行贿犯罪记录；</w:t>
      </w:r>
    </w:p>
    <w:p w14:paraId="129C8629">
      <w:pPr>
        <w:wordWrap w:val="0"/>
        <w:spacing w:line="360" w:lineRule="auto"/>
        <w:ind w:firstLine="488" w:firstLineChars="200"/>
        <w:jc w:val="left"/>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8、根据《财政部关于</w:t>
      </w:r>
      <w:r>
        <w:rPr>
          <w:rFonts w:hint="eastAsia" w:ascii="仿宋" w:hAnsi="仿宋" w:eastAsia="仿宋" w:cs="仿宋"/>
          <w:sz w:val="24"/>
          <w:szCs w:val="24"/>
          <w:highlight w:val="none"/>
        </w:rPr>
        <w:t>在政府采购活动中查询及使用信用记录的通知》（财库[2016]125号）的要求，将通过“信用中国”网站（www.creditchina.gov.cn）、“中国政府采购网”网站（www.ccgp.gov.cn）等渠道查询供应商的信用记录并保存信用记录结果网页截图，拒绝列入失信被执行人、重大税收违法案件当事人名单、政府采购严重违法失信行为记录名单中的供应商参加本项目的采购活动（以联合体形式参加本项目采购活动，联合体成员存在不良信用记录的，视同联合体存在不良信用记录）。</w:t>
      </w:r>
    </w:p>
    <w:p w14:paraId="57E9C8B4">
      <w:pPr>
        <w:wordWrap w:val="0"/>
        <w:spacing w:line="360" w:lineRule="auto"/>
        <w:ind w:firstLine="480" w:firstLineChars="2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具有国家行政主管部门颁发的会计师事务所执业证书。</w:t>
      </w:r>
    </w:p>
    <w:p w14:paraId="6FDB0683">
      <w:pPr>
        <w:wordWrap w:val="0"/>
        <w:spacing w:line="4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10、本项目不接受联合体参加比选活动。</w:t>
      </w:r>
    </w:p>
    <w:p w14:paraId="09EC767F">
      <w:pPr>
        <w:pStyle w:val="3"/>
        <w:spacing w:line="460" w:lineRule="exact"/>
        <w:ind w:firstLine="482"/>
        <w:rPr>
          <w:rFonts w:ascii="仿宋" w:hAnsi="仿宋" w:eastAsia="仿宋" w:cs="仿宋"/>
          <w:sz w:val="24"/>
          <w:szCs w:val="24"/>
          <w:highlight w:val="none"/>
        </w:rPr>
      </w:pPr>
      <w:r>
        <w:rPr>
          <w:rFonts w:hint="eastAsia" w:ascii="仿宋" w:hAnsi="仿宋" w:eastAsia="仿宋" w:cs="仿宋"/>
          <w:sz w:val="24"/>
          <w:szCs w:val="24"/>
          <w:highlight w:val="none"/>
        </w:rPr>
        <w:t>三、</w:t>
      </w:r>
      <w:bookmarkEnd w:id="4"/>
      <w:r>
        <w:rPr>
          <w:rFonts w:hint="eastAsia" w:ascii="仿宋" w:hAnsi="仿宋" w:eastAsia="仿宋" w:cs="仿宋"/>
          <w:sz w:val="24"/>
          <w:szCs w:val="24"/>
          <w:highlight w:val="none"/>
        </w:rPr>
        <w:t>比选文件获取方式：</w:t>
      </w:r>
    </w:p>
    <w:p w14:paraId="061C0B17">
      <w:pPr>
        <w:widowControl/>
        <w:wordWrap w:val="0"/>
        <w:spacing w:line="360" w:lineRule="auto"/>
        <w:ind w:firstLine="480"/>
        <w:jc w:val="left"/>
        <w:rPr>
          <w:rFonts w:ascii="仿宋" w:hAnsi="仿宋" w:eastAsia="仿宋" w:cs="仿宋"/>
          <w:kern w:val="1"/>
          <w:sz w:val="24"/>
          <w:szCs w:val="24"/>
          <w:highlight w:val="none"/>
        </w:rPr>
      </w:pPr>
      <w:r>
        <w:rPr>
          <w:rFonts w:hint="eastAsia" w:ascii="仿宋" w:hAnsi="仿宋" w:eastAsia="仿宋" w:cs="仿宋"/>
          <w:kern w:val="1"/>
          <w:sz w:val="24"/>
          <w:szCs w:val="24"/>
          <w:highlight w:val="none"/>
        </w:rPr>
        <w:t>1、获取时间：自公告发布之日起</w:t>
      </w:r>
    </w:p>
    <w:p w14:paraId="5E73C8DD">
      <w:pPr>
        <w:widowControl/>
        <w:wordWrap w:val="0"/>
        <w:spacing w:line="360" w:lineRule="auto"/>
        <w:ind w:firstLine="480"/>
        <w:jc w:val="left"/>
        <w:rPr>
          <w:rFonts w:ascii="仿宋" w:hAnsi="仿宋" w:eastAsia="仿宋" w:cs="仿宋"/>
          <w:kern w:val="1"/>
          <w:sz w:val="24"/>
          <w:szCs w:val="24"/>
          <w:highlight w:val="none"/>
        </w:rPr>
      </w:pPr>
      <w:r>
        <w:rPr>
          <w:rFonts w:hint="eastAsia" w:ascii="仿宋" w:hAnsi="仿宋" w:eastAsia="仿宋" w:cs="仿宋"/>
          <w:kern w:val="1"/>
          <w:sz w:val="24"/>
          <w:szCs w:val="24"/>
          <w:highlight w:val="none"/>
        </w:rPr>
        <w:t>2、比选文件售价：</w:t>
      </w:r>
      <w:r>
        <w:rPr>
          <w:rFonts w:ascii="仿宋" w:hAnsi="仿宋" w:eastAsia="仿宋" w:cs="仿宋"/>
          <w:kern w:val="1"/>
          <w:sz w:val="24"/>
          <w:szCs w:val="24"/>
          <w:highlight w:val="none"/>
        </w:rPr>
        <w:t xml:space="preserve"> </w:t>
      </w:r>
      <w:r>
        <w:rPr>
          <w:rFonts w:hint="eastAsia" w:ascii="仿宋" w:hAnsi="仿宋" w:eastAsia="仿宋" w:cs="仿宋"/>
          <w:kern w:val="1"/>
          <w:sz w:val="24"/>
          <w:szCs w:val="24"/>
          <w:highlight w:val="none"/>
        </w:rPr>
        <w:t>不收取</w:t>
      </w:r>
    </w:p>
    <w:p w14:paraId="6FBD7EA6">
      <w:pPr>
        <w:widowControl/>
        <w:wordWrap w:val="0"/>
        <w:spacing w:line="360" w:lineRule="auto"/>
        <w:ind w:firstLine="480"/>
        <w:jc w:val="left"/>
        <w:rPr>
          <w:rFonts w:ascii="仿宋" w:hAnsi="仿宋" w:eastAsia="仿宋" w:cs="仿宋"/>
          <w:kern w:val="1"/>
          <w:sz w:val="24"/>
          <w:szCs w:val="24"/>
          <w:highlight w:val="none"/>
        </w:rPr>
      </w:pPr>
      <w:r>
        <w:rPr>
          <w:rFonts w:hint="eastAsia" w:ascii="仿宋" w:hAnsi="仿宋" w:eastAsia="仿宋" w:cs="仿宋"/>
          <w:kern w:val="1"/>
          <w:sz w:val="24"/>
          <w:szCs w:val="24"/>
          <w:highlight w:val="none"/>
        </w:rPr>
        <w:t>3、</w:t>
      </w:r>
      <w:r>
        <w:rPr>
          <w:rFonts w:hint="eastAsia" w:ascii="仿宋" w:hAnsi="仿宋" w:eastAsia="仿宋" w:cs="仿宋"/>
          <w:sz w:val="24"/>
          <w:highlight w:val="none"/>
        </w:rPr>
        <w:t>获取地点及方式：供应商请访问四川招投标网（</w:t>
      </w:r>
      <w:r>
        <w:rPr>
          <w:highlight w:val="none"/>
        </w:rPr>
        <w:fldChar w:fldCharType="begin"/>
      </w:r>
      <w:r>
        <w:rPr>
          <w:highlight w:val="none"/>
        </w:rPr>
        <w:instrText xml:space="preserve"> HYPERLINK "http://www.scbid.com/" </w:instrText>
      </w:r>
      <w:r>
        <w:rPr>
          <w:highlight w:val="none"/>
        </w:rPr>
        <w:fldChar w:fldCharType="separate"/>
      </w:r>
      <w:r>
        <w:rPr>
          <w:rStyle w:val="66"/>
          <w:rFonts w:ascii="仿宋" w:hAnsi="仿宋" w:eastAsia="仿宋" w:cs="仿宋"/>
          <w:sz w:val="24"/>
          <w:highlight w:val="none"/>
        </w:rPr>
        <w:t>http://www.scbid.com/</w:t>
      </w:r>
      <w:r>
        <w:rPr>
          <w:rStyle w:val="66"/>
          <w:rFonts w:ascii="仿宋" w:hAnsi="仿宋" w:eastAsia="仿宋" w:cs="仿宋"/>
          <w:sz w:val="24"/>
          <w:highlight w:val="none"/>
        </w:rPr>
        <w:fldChar w:fldCharType="end"/>
      </w:r>
      <w:r>
        <w:rPr>
          <w:rFonts w:hint="eastAsia" w:ascii="仿宋" w:hAnsi="仿宋" w:eastAsia="仿宋" w:cs="仿宋"/>
          <w:sz w:val="24"/>
          <w:highlight w:val="none"/>
        </w:rPr>
        <w:t>）我院官方网站（</w:t>
      </w:r>
      <w:r>
        <w:rPr>
          <w:rFonts w:ascii="仿宋" w:hAnsi="仿宋" w:eastAsia="仿宋" w:cs="仿宋"/>
          <w:sz w:val="24"/>
          <w:highlight w:val="none"/>
        </w:rPr>
        <w:t>http://www.scsw.edu.cn/</w:t>
      </w:r>
      <w:r>
        <w:rPr>
          <w:rFonts w:hint="eastAsia" w:ascii="仿宋" w:hAnsi="仿宋" w:eastAsia="仿宋" w:cs="仿宋"/>
          <w:sz w:val="24"/>
          <w:highlight w:val="none"/>
        </w:rPr>
        <w:t>）选择“公共服务”——“招标公告栏目”自行下载比选文件）</w:t>
      </w:r>
      <w:r>
        <w:rPr>
          <w:rFonts w:hint="eastAsia" w:ascii="仿宋" w:hAnsi="仿宋" w:eastAsia="仿宋" w:cs="仿宋"/>
          <w:kern w:val="1"/>
          <w:sz w:val="24"/>
          <w:szCs w:val="24"/>
          <w:highlight w:val="none"/>
        </w:rPr>
        <w:t>。</w:t>
      </w:r>
    </w:p>
    <w:p w14:paraId="48A81AE6">
      <w:pPr>
        <w:widowControl/>
        <w:spacing w:line="360" w:lineRule="auto"/>
        <w:ind w:firstLine="482" w:firstLineChars="200"/>
        <w:jc w:val="left"/>
        <w:textAlignment w:val="baseline"/>
        <w:rPr>
          <w:rFonts w:ascii="仿宋" w:hAnsi="仿宋" w:eastAsia="仿宋" w:cs="仿宋"/>
          <w:color w:val="auto"/>
          <w:kern w:val="1"/>
          <w:sz w:val="24"/>
          <w:szCs w:val="24"/>
          <w:highlight w:val="none"/>
        </w:rPr>
      </w:pPr>
      <w:r>
        <w:rPr>
          <w:rFonts w:hint="eastAsia" w:ascii="仿宋" w:hAnsi="仿宋" w:eastAsia="仿宋" w:cs="仿宋"/>
          <w:b/>
          <w:color w:val="auto"/>
          <w:kern w:val="1"/>
          <w:sz w:val="24"/>
          <w:szCs w:val="24"/>
          <w:highlight w:val="none"/>
        </w:rPr>
        <w:t>四、递交响应文件截止时间：</w:t>
      </w:r>
      <w:r>
        <w:rPr>
          <w:rFonts w:hint="eastAsia" w:ascii="仿宋" w:hAnsi="仿宋" w:eastAsia="仿宋" w:cs="仿宋"/>
          <w:color w:val="auto"/>
          <w:spacing w:val="2"/>
          <w:sz w:val="24"/>
          <w:szCs w:val="24"/>
          <w:highlight w:val="none"/>
          <w:u w:val="single"/>
        </w:rPr>
        <w:t>202</w:t>
      </w:r>
      <w:r>
        <w:rPr>
          <w:rFonts w:hint="eastAsia" w:ascii="仿宋" w:hAnsi="仿宋" w:eastAsia="仿宋" w:cs="仿宋"/>
          <w:color w:val="auto"/>
          <w:spacing w:val="2"/>
          <w:sz w:val="24"/>
          <w:szCs w:val="24"/>
          <w:highlight w:val="none"/>
          <w:u w:val="single"/>
          <w:lang w:val="en-US" w:eastAsia="zh-CN"/>
        </w:rPr>
        <w:t>6</w:t>
      </w:r>
      <w:r>
        <w:rPr>
          <w:rFonts w:hint="eastAsia" w:ascii="仿宋" w:hAnsi="仿宋" w:eastAsia="仿宋" w:cs="仿宋"/>
          <w:color w:val="auto"/>
          <w:kern w:val="1"/>
          <w:sz w:val="24"/>
          <w:szCs w:val="24"/>
          <w:highlight w:val="none"/>
        </w:rPr>
        <w:t>年</w:t>
      </w:r>
      <w:r>
        <w:rPr>
          <w:rFonts w:hint="eastAsia" w:ascii="仿宋" w:hAnsi="仿宋" w:eastAsia="仿宋" w:cs="仿宋"/>
          <w:color w:val="auto"/>
          <w:spacing w:val="2"/>
          <w:sz w:val="24"/>
          <w:szCs w:val="24"/>
          <w:highlight w:val="none"/>
          <w:u w:val="single"/>
          <w:lang w:val="en-US" w:eastAsia="zh-CN"/>
        </w:rPr>
        <w:t xml:space="preserve"> 4</w:t>
      </w:r>
      <w:r>
        <w:rPr>
          <w:rFonts w:hint="eastAsia" w:ascii="仿宋" w:hAnsi="仿宋" w:eastAsia="仿宋" w:cs="仿宋"/>
          <w:color w:val="auto"/>
          <w:kern w:val="1"/>
          <w:sz w:val="24"/>
          <w:szCs w:val="24"/>
          <w:highlight w:val="none"/>
        </w:rPr>
        <w:t>月</w:t>
      </w:r>
      <w:r>
        <w:rPr>
          <w:rFonts w:hint="eastAsia" w:ascii="仿宋" w:hAnsi="仿宋" w:eastAsia="仿宋" w:cs="仿宋"/>
          <w:color w:val="auto"/>
          <w:spacing w:val="2"/>
          <w:sz w:val="24"/>
          <w:szCs w:val="24"/>
          <w:highlight w:val="none"/>
          <w:u w:val="single"/>
          <w:lang w:val="en-US" w:eastAsia="zh-CN"/>
        </w:rPr>
        <w:t xml:space="preserve">20 </w:t>
      </w:r>
      <w:r>
        <w:rPr>
          <w:rFonts w:hint="eastAsia" w:ascii="仿宋" w:hAnsi="仿宋" w:eastAsia="仿宋" w:cs="仿宋"/>
          <w:color w:val="auto"/>
          <w:kern w:val="1"/>
          <w:sz w:val="24"/>
          <w:szCs w:val="24"/>
          <w:highlight w:val="none"/>
        </w:rPr>
        <w:t>日</w:t>
      </w:r>
      <w:r>
        <w:rPr>
          <w:rFonts w:hint="eastAsia" w:ascii="仿宋" w:hAnsi="仿宋" w:eastAsia="仿宋" w:cs="仿宋"/>
          <w:color w:val="auto"/>
          <w:kern w:val="1"/>
          <w:sz w:val="24"/>
          <w:szCs w:val="24"/>
          <w:highlight w:val="none"/>
          <w:u w:val="single"/>
          <w:lang w:val="en-US" w:eastAsia="zh-CN"/>
        </w:rPr>
        <w:t>15</w:t>
      </w:r>
      <w:r>
        <w:rPr>
          <w:rFonts w:hint="eastAsia" w:ascii="仿宋" w:hAnsi="仿宋" w:eastAsia="仿宋" w:cs="仿宋"/>
          <w:color w:val="auto"/>
          <w:spacing w:val="2"/>
          <w:sz w:val="24"/>
          <w:szCs w:val="24"/>
          <w:highlight w:val="none"/>
          <w:u w:val="single"/>
          <w:lang w:val="en-US" w:eastAsia="zh-CN"/>
        </w:rPr>
        <w:t xml:space="preserve"> </w:t>
      </w:r>
      <w:r>
        <w:rPr>
          <w:rFonts w:hint="eastAsia" w:ascii="仿宋" w:hAnsi="仿宋" w:eastAsia="仿宋" w:cs="仿宋"/>
          <w:color w:val="auto"/>
          <w:kern w:val="1"/>
          <w:sz w:val="24"/>
          <w:szCs w:val="24"/>
          <w:highlight w:val="none"/>
          <w:u w:val="single"/>
        </w:rPr>
        <w:t>:</w:t>
      </w:r>
      <w:r>
        <w:rPr>
          <w:rFonts w:hint="eastAsia" w:ascii="仿宋" w:hAnsi="仿宋" w:eastAsia="仿宋" w:cs="仿宋"/>
          <w:color w:val="auto"/>
          <w:kern w:val="1"/>
          <w:sz w:val="24"/>
          <w:szCs w:val="24"/>
          <w:highlight w:val="none"/>
          <w:u w:val="single"/>
          <w:lang w:val="en-US" w:eastAsia="zh-CN"/>
        </w:rPr>
        <w:t>00</w:t>
      </w:r>
      <w:r>
        <w:rPr>
          <w:rFonts w:hint="eastAsia" w:ascii="仿宋" w:hAnsi="仿宋" w:eastAsia="仿宋" w:cs="仿宋"/>
          <w:color w:val="auto"/>
          <w:kern w:val="1"/>
          <w:sz w:val="24"/>
          <w:szCs w:val="24"/>
          <w:highlight w:val="none"/>
        </w:rPr>
        <w:t>（北京时间），比选申请人应于递交响应文件截止时间之前将响应文件送达比选地点，逾期送达或没有密封的将被拒绝。本次采购项目不接受邮寄的响应文</w:t>
      </w:r>
      <w:bookmarkStart w:id="90" w:name="_GoBack"/>
      <w:bookmarkEnd w:id="90"/>
      <w:r>
        <w:rPr>
          <w:rFonts w:hint="eastAsia" w:ascii="仿宋" w:hAnsi="仿宋" w:eastAsia="仿宋" w:cs="仿宋"/>
          <w:color w:val="auto"/>
          <w:kern w:val="1"/>
          <w:sz w:val="24"/>
          <w:szCs w:val="24"/>
          <w:highlight w:val="none"/>
        </w:rPr>
        <w:t>件。</w:t>
      </w:r>
    </w:p>
    <w:p w14:paraId="5A6F39F6">
      <w:pPr>
        <w:widowControl/>
        <w:wordWrap w:val="0"/>
        <w:spacing w:line="360" w:lineRule="auto"/>
        <w:ind w:firstLine="482"/>
        <w:jc w:val="left"/>
        <w:rPr>
          <w:rFonts w:ascii="仿宋" w:hAnsi="仿宋" w:eastAsia="仿宋" w:cs="仿宋"/>
          <w:color w:val="auto"/>
          <w:sz w:val="24"/>
          <w:szCs w:val="24"/>
          <w:highlight w:val="none"/>
        </w:rPr>
      </w:pPr>
      <w:r>
        <w:rPr>
          <w:rFonts w:hint="eastAsia" w:ascii="仿宋" w:hAnsi="仿宋" w:eastAsia="仿宋" w:cs="仿宋"/>
          <w:b/>
          <w:color w:val="auto"/>
          <w:kern w:val="1"/>
          <w:sz w:val="24"/>
          <w:szCs w:val="24"/>
          <w:highlight w:val="none"/>
        </w:rPr>
        <w:t>五、比选时间、</w:t>
      </w:r>
      <w:r>
        <w:rPr>
          <w:rFonts w:hint="eastAsia" w:ascii="仿宋" w:hAnsi="仿宋" w:eastAsia="仿宋" w:cs="仿宋"/>
          <w:b/>
          <w:color w:val="auto"/>
          <w:sz w:val="24"/>
          <w:szCs w:val="24"/>
          <w:highlight w:val="none"/>
        </w:rPr>
        <w:t>地点：</w:t>
      </w:r>
      <w:r>
        <w:rPr>
          <w:rFonts w:hint="eastAsia" w:ascii="仿宋" w:hAnsi="仿宋" w:eastAsia="仿宋" w:cs="仿宋"/>
          <w:color w:val="auto"/>
          <w:spacing w:val="2"/>
          <w:sz w:val="24"/>
          <w:szCs w:val="24"/>
          <w:highlight w:val="none"/>
          <w:u w:val="single"/>
        </w:rPr>
        <w:t>202</w:t>
      </w:r>
      <w:r>
        <w:rPr>
          <w:rFonts w:hint="eastAsia" w:ascii="仿宋" w:hAnsi="仿宋" w:eastAsia="仿宋" w:cs="仿宋"/>
          <w:color w:val="auto"/>
          <w:spacing w:val="2"/>
          <w:sz w:val="24"/>
          <w:szCs w:val="24"/>
          <w:highlight w:val="none"/>
          <w:u w:val="single"/>
          <w:lang w:val="en-US" w:eastAsia="zh-CN"/>
        </w:rPr>
        <w:t>6</w:t>
      </w:r>
      <w:r>
        <w:rPr>
          <w:rFonts w:hint="eastAsia" w:ascii="仿宋" w:hAnsi="仿宋" w:eastAsia="仿宋" w:cs="仿宋"/>
          <w:color w:val="auto"/>
          <w:kern w:val="1"/>
          <w:sz w:val="24"/>
          <w:szCs w:val="24"/>
          <w:highlight w:val="none"/>
        </w:rPr>
        <w:t>年</w:t>
      </w:r>
      <w:r>
        <w:rPr>
          <w:rFonts w:hint="eastAsia" w:ascii="仿宋" w:hAnsi="仿宋" w:eastAsia="仿宋" w:cs="仿宋"/>
          <w:color w:val="auto"/>
          <w:spacing w:val="2"/>
          <w:sz w:val="24"/>
          <w:szCs w:val="24"/>
          <w:highlight w:val="none"/>
          <w:u w:val="single"/>
          <w:lang w:val="en-US" w:eastAsia="zh-CN"/>
        </w:rPr>
        <w:t xml:space="preserve"> 4 </w:t>
      </w:r>
      <w:r>
        <w:rPr>
          <w:rFonts w:hint="eastAsia" w:ascii="仿宋" w:hAnsi="仿宋" w:eastAsia="仿宋" w:cs="仿宋"/>
          <w:color w:val="auto"/>
          <w:kern w:val="1"/>
          <w:sz w:val="24"/>
          <w:szCs w:val="24"/>
          <w:highlight w:val="none"/>
        </w:rPr>
        <w:t>月</w:t>
      </w:r>
      <w:r>
        <w:rPr>
          <w:rFonts w:hint="eastAsia" w:ascii="仿宋" w:hAnsi="仿宋" w:eastAsia="仿宋" w:cs="仿宋"/>
          <w:color w:val="auto"/>
          <w:spacing w:val="2"/>
          <w:sz w:val="24"/>
          <w:szCs w:val="24"/>
          <w:highlight w:val="none"/>
          <w:u w:val="single"/>
          <w:lang w:val="en-US" w:eastAsia="zh-CN"/>
        </w:rPr>
        <w:t xml:space="preserve">20 </w:t>
      </w:r>
      <w:r>
        <w:rPr>
          <w:rFonts w:hint="eastAsia" w:ascii="仿宋" w:hAnsi="仿宋" w:eastAsia="仿宋" w:cs="仿宋"/>
          <w:color w:val="auto"/>
          <w:kern w:val="1"/>
          <w:sz w:val="24"/>
          <w:szCs w:val="24"/>
          <w:highlight w:val="none"/>
        </w:rPr>
        <w:t>日</w:t>
      </w:r>
      <w:r>
        <w:rPr>
          <w:rFonts w:hint="eastAsia" w:ascii="仿宋" w:hAnsi="仿宋" w:eastAsia="仿宋" w:cs="仿宋"/>
          <w:color w:val="auto"/>
          <w:kern w:val="1"/>
          <w:sz w:val="24"/>
          <w:szCs w:val="24"/>
          <w:highlight w:val="none"/>
          <w:u w:val="single"/>
          <w:lang w:val="en-US" w:eastAsia="zh-CN"/>
        </w:rPr>
        <w:t>15</w:t>
      </w:r>
      <w:r>
        <w:rPr>
          <w:rFonts w:hint="eastAsia" w:ascii="仿宋" w:hAnsi="仿宋" w:eastAsia="仿宋" w:cs="仿宋"/>
          <w:color w:val="auto"/>
          <w:kern w:val="1"/>
          <w:sz w:val="24"/>
          <w:szCs w:val="24"/>
          <w:highlight w:val="none"/>
          <w:u w:val="single"/>
        </w:rPr>
        <w:t>:</w:t>
      </w:r>
      <w:r>
        <w:rPr>
          <w:rFonts w:hint="eastAsia" w:ascii="仿宋" w:hAnsi="仿宋" w:eastAsia="仿宋" w:cs="仿宋"/>
          <w:color w:val="auto"/>
          <w:kern w:val="1"/>
          <w:sz w:val="24"/>
          <w:szCs w:val="24"/>
          <w:highlight w:val="none"/>
          <w:u w:val="single"/>
          <w:lang w:val="en-US" w:eastAsia="zh-CN"/>
        </w:rPr>
        <w:t>00</w:t>
      </w:r>
      <w:r>
        <w:rPr>
          <w:rFonts w:hint="eastAsia" w:ascii="仿宋" w:hAnsi="仿宋" w:eastAsia="仿宋" w:cs="仿宋"/>
          <w:color w:val="auto"/>
          <w:kern w:val="1"/>
          <w:sz w:val="24"/>
          <w:szCs w:val="24"/>
          <w:highlight w:val="none"/>
        </w:rPr>
        <w:t>（北京时间）</w:t>
      </w:r>
      <w:r>
        <w:rPr>
          <w:rFonts w:hint="eastAsia" w:ascii="仿宋" w:hAnsi="仿宋" w:eastAsia="仿宋" w:cs="仿宋"/>
          <w:color w:val="auto"/>
          <w:sz w:val="24"/>
          <w:szCs w:val="24"/>
          <w:highlight w:val="none"/>
        </w:rPr>
        <w:t>，成都市温江区和盛镇星艺大道188号善培楼305室。</w:t>
      </w:r>
    </w:p>
    <w:p w14:paraId="3AA10152">
      <w:pPr>
        <w:pStyle w:val="3"/>
        <w:wordWrap w:val="0"/>
        <w:spacing w:line="460" w:lineRule="exact"/>
        <w:ind w:firstLine="482"/>
        <w:rPr>
          <w:rFonts w:ascii="仿宋" w:hAnsi="仿宋" w:eastAsia="仿宋" w:cs="仿宋"/>
          <w:sz w:val="24"/>
          <w:szCs w:val="24"/>
          <w:highlight w:val="none"/>
        </w:rPr>
      </w:pPr>
      <w:r>
        <w:rPr>
          <w:rFonts w:hint="eastAsia" w:ascii="仿宋" w:hAnsi="仿宋" w:eastAsia="仿宋" w:cs="仿宋"/>
          <w:sz w:val="24"/>
          <w:szCs w:val="24"/>
          <w:highlight w:val="none"/>
        </w:rPr>
        <w:t>六、本项目相关信息在</w:t>
      </w:r>
      <w:r>
        <w:rPr>
          <w:rFonts w:hint="eastAsia" w:ascii="仿宋" w:hAnsi="仿宋" w:eastAsia="仿宋" w:cs="仿宋"/>
          <w:sz w:val="24"/>
          <w:highlight w:val="none"/>
        </w:rPr>
        <w:t>四川招投标网（</w:t>
      </w:r>
      <w:r>
        <w:rPr>
          <w:highlight w:val="none"/>
        </w:rPr>
        <w:fldChar w:fldCharType="begin"/>
      </w:r>
      <w:r>
        <w:rPr>
          <w:highlight w:val="none"/>
        </w:rPr>
        <w:instrText xml:space="preserve"> HYPERLINK "http://www.scbid.com/" </w:instrText>
      </w:r>
      <w:r>
        <w:rPr>
          <w:highlight w:val="none"/>
        </w:rPr>
        <w:fldChar w:fldCharType="separate"/>
      </w:r>
      <w:r>
        <w:rPr>
          <w:rStyle w:val="66"/>
          <w:rFonts w:ascii="仿宋" w:hAnsi="仿宋" w:eastAsia="仿宋" w:cs="仿宋"/>
          <w:sz w:val="24"/>
          <w:highlight w:val="none"/>
        </w:rPr>
        <w:t>http://www.scbid.com/</w:t>
      </w:r>
      <w:r>
        <w:rPr>
          <w:rStyle w:val="66"/>
          <w:rFonts w:ascii="仿宋" w:hAnsi="仿宋" w:eastAsia="仿宋" w:cs="仿宋"/>
          <w:sz w:val="24"/>
          <w:highlight w:val="none"/>
        </w:rPr>
        <w:fldChar w:fldCharType="end"/>
      </w:r>
      <w:r>
        <w:rPr>
          <w:rFonts w:hint="eastAsia" w:ascii="仿宋" w:hAnsi="仿宋" w:eastAsia="仿宋" w:cs="仿宋"/>
          <w:sz w:val="24"/>
          <w:highlight w:val="none"/>
        </w:rPr>
        <w:t>）我院官方网站（</w:t>
      </w:r>
      <w:r>
        <w:rPr>
          <w:rFonts w:ascii="仿宋" w:hAnsi="仿宋" w:eastAsia="仿宋" w:cs="仿宋"/>
          <w:sz w:val="24"/>
          <w:highlight w:val="none"/>
        </w:rPr>
        <w:t>http://www.scsw.edu.cn/</w:t>
      </w:r>
      <w:r>
        <w:rPr>
          <w:rFonts w:hint="eastAsia" w:ascii="仿宋" w:hAnsi="仿宋" w:eastAsia="仿宋" w:cs="仿宋"/>
          <w:sz w:val="24"/>
          <w:highlight w:val="none"/>
        </w:rPr>
        <w:t>）选择“公共服务”——“招标公告栏目”</w:t>
      </w:r>
      <w:r>
        <w:rPr>
          <w:rFonts w:hint="eastAsia" w:ascii="仿宋" w:hAnsi="仿宋" w:eastAsia="仿宋" w:cs="仿宋"/>
          <w:sz w:val="24"/>
          <w:szCs w:val="24"/>
          <w:highlight w:val="none"/>
        </w:rPr>
        <w:t>上以公告形式发布。</w:t>
      </w:r>
    </w:p>
    <w:p w14:paraId="52C8FD88">
      <w:pPr>
        <w:pStyle w:val="3"/>
        <w:spacing w:line="460" w:lineRule="exact"/>
        <w:ind w:firstLine="482"/>
        <w:rPr>
          <w:rFonts w:ascii="仿宋" w:hAnsi="仿宋" w:eastAsia="仿宋" w:cs="仿宋"/>
          <w:sz w:val="24"/>
          <w:szCs w:val="24"/>
          <w:highlight w:val="none"/>
        </w:rPr>
      </w:pPr>
      <w:bookmarkStart w:id="5" w:name="_Toc453767383"/>
      <w:r>
        <w:rPr>
          <w:rFonts w:hint="eastAsia" w:ascii="仿宋" w:hAnsi="仿宋" w:eastAsia="仿宋" w:cs="仿宋"/>
          <w:sz w:val="24"/>
          <w:szCs w:val="24"/>
          <w:highlight w:val="none"/>
        </w:rPr>
        <w:t>七、联系方式</w:t>
      </w:r>
      <w:bookmarkEnd w:id="5"/>
    </w:p>
    <w:p w14:paraId="5DC357D6">
      <w:pPr>
        <w:spacing w:line="360" w:lineRule="auto"/>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采购人：四川商务职业学院</w:t>
      </w:r>
    </w:p>
    <w:p w14:paraId="30A4E6DB">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地址：成都市温江区和盛镇星艺大道188号</w:t>
      </w:r>
    </w:p>
    <w:p w14:paraId="3A2DAD5A">
      <w:pPr>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联系人：</w:t>
      </w:r>
      <w:r>
        <w:rPr>
          <w:rFonts w:hint="eastAsia" w:ascii="仿宋" w:hAnsi="仿宋" w:eastAsia="仿宋" w:cs="仿宋"/>
          <w:sz w:val="24"/>
          <w:szCs w:val="24"/>
          <w:highlight w:val="none"/>
          <w:lang w:val="en-US" w:eastAsia="zh-CN"/>
        </w:rPr>
        <w:t>王老师</w:t>
      </w:r>
    </w:p>
    <w:p w14:paraId="562B55A3">
      <w:pPr>
        <w:spacing w:line="36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lang w:val="en-US" w:eastAsia="zh-CN"/>
        </w:rPr>
        <w:t>028-61936291</w:t>
      </w:r>
    </w:p>
    <w:p w14:paraId="75572F8E">
      <w:pPr>
        <w:pStyle w:val="22"/>
        <w:rPr>
          <w:rFonts w:ascii="仿宋" w:hAnsi="仿宋" w:eastAsia="仿宋" w:cs="仿宋"/>
          <w:sz w:val="36"/>
          <w:szCs w:val="36"/>
          <w:highlight w:val="none"/>
        </w:rPr>
      </w:pPr>
    </w:p>
    <w:p w14:paraId="187C94CB">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采购代办部门：四川商务职业学院采购与招标管理中心；</w:t>
      </w:r>
    </w:p>
    <w:p w14:paraId="02FDB3E2">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地址：成都市温江区和盛镇星艺大道188号善培楼305</w:t>
      </w:r>
    </w:p>
    <w:p w14:paraId="5F872057">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联系人：梁老师/徐老师；</w:t>
      </w:r>
    </w:p>
    <w:p w14:paraId="30F06D2F">
      <w:pPr>
        <w:widowControl/>
        <w:spacing w:line="360" w:lineRule="auto"/>
        <w:ind w:firstLine="480" w:firstLineChars="200"/>
        <w:jc w:val="left"/>
        <w:rPr>
          <w:rFonts w:ascii="仿宋" w:hAnsi="仿宋" w:eastAsia="仿宋" w:cs="仿宋"/>
          <w:sz w:val="24"/>
          <w:szCs w:val="24"/>
          <w:highlight w:val="none"/>
        </w:rPr>
        <w:sectPr>
          <w:headerReference r:id="rId7" w:type="default"/>
          <w:footerReference r:id="rId8" w:type="default"/>
          <w:pgSz w:w="11906" w:h="16838"/>
          <w:pgMar w:top="1440" w:right="1701" w:bottom="1440" w:left="1701" w:header="850" w:footer="1191" w:gutter="0"/>
          <w:pgNumType w:start="1"/>
          <w:cols w:space="720" w:num="1"/>
          <w:docGrid w:type="lines" w:linePitch="381" w:charSpace="0"/>
        </w:sectPr>
      </w:pPr>
      <w:r>
        <w:rPr>
          <w:rFonts w:hint="eastAsia" w:ascii="仿宋" w:hAnsi="仿宋" w:eastAsia="仿宋" w:cs="仿宋"/>
          <w:sz w:val="24"/>
          <w:szCs w:val="24"/>
          <w:highlight w:val="none"/>
        </w:rPr>
        <w:t>联系电话：028-61935175/61935686。</w:t>
      </w:r>
    </w:p>
    <w:p w14:paraId="167E7EC7">
      <w:pPr>
        <w:pStyle w:val="2"/>
        <w:pageBreakBefore/>
        <w:spacing w:before="381" w:after="190" w:line="500" w:lineRule="exact"/>
        <w:rPr>
          <w:rFonts w:ascii="仿宋" w:hAnsi="仿宋" w:eastAsia="仿宋" w:cs="仿宋"/>
          <w:b/>
          <w:highlight w:val="none"/>
        </w:rPr>
      </w:pPr>
      <w:bookmarkStart w:id="6" w:name="_Toc8011"/>
      <w:bookmarkStart w:id="7" w:name="_Toc453767384"/>
      <w:r>
        <w:rPr>
          <w:rFonts w:hint="eastAsia" w:ascii="仿宋" w:hAnsi="仿宋" w:eastAsia="仿宋" w:cs="仿宋"/>
          <w:b/>
          <w:highlight w:val="none"/>
        </w:rPr>
        <w:t>第二章 比选申请人须知</w:t>
      </w:r>
      <w:bookmarkEnd w:id="6"/>
      <w:bookmarkEnd w:id="7"/>
    </w:p>
    <w:p w14:paraId="6E0CEEF3">
      <w:pPr>
        <w:pStyle w:val="3"/>
        <w:ind w:firstLine="643"/>
        <w:jc w:val="center"/>
        <w:rPr>
          <w:rFonts w:ascii="仿宋" w:hAnsi="仿宋" w:eastAsia="仿宋" w:cs="仿宋"/>
          <w:sz w:val="32"/>
          <w:highlight w:val="none"/>
        </w:rPr>
      </w:pPr>
      <w:bookmarkStart w:id="8" w:name="_Toc497923220"/>
      <w:bookmarkStart w:id="9" w:name="_Toc453767393"/>
      <w:r>
        <w:rPr>
          <w:rFonts w:hint="eastAsia" w:ascii="仿宋" w:hAnsi="仿宋" w:eastAsia="仿宋" w:cs="仿宋"/>
          <w:sz w:val="32"/>
          <w:highlight w:val="none"/>
        </w:rPr>
        <w:t>一、比选须知前附表</w:t>
      </w:r>
      <w:bookmarkEnd w:id="8"/>
    </w:p>
    <w:tbl>
      <w:tblPr>
        <w:tblStyle w:val="59"/>
        <w:tblW w:w="5070"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54"/>
        <w:gridCol w:w="1822"/>
        <w:gridCol w:w="6183"/>
      </w:tblGrid>
      <w:tr w14:paraId="67A5FB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01" w:hRule="atLeast"/>
          <w:tblHeader/>
          <w:jc w:val="center"/>
        </w:trPr>
        <w:tc>
          <w:tcPr>
            <w:tcW w:w="268" w:type="pct"/>
            <w:noWrap w:val="0"/>
            <w:vAlign w:val="center"/>
          </w:tcPr>
          <w:p w14:paraId="49C35A8C">
            <w:pPr>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1077" w:type="pct"/>
            <w:noWrap w:val="0"/>
            <w:vAlign w:val="center"/>
          </w:tcPr>
          <w:p w14:paraId="55BAAE30">
            <w:pPr>
              <w:autoSpaceDE w:val="0"/>
              <w:autoSpaceDN w:val="0"/>
              <w:adjustRightInd w:val="0"/>
              <w:ind w:left="38"/>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条款名称</w:t>
            </w:r>
          </w:p>
        </w:tc>
        <w:tc>
          <w:tcPr>
            <w:tcW w:w="3654" w:type="pct"/>
            <w:noWrap w:val="0"/>
            <w:vAlign w:val="center"/>
          </w:tcPr>
          <w:p w14:paraId="4A01DBF4">
            <w:pPr>
              <w:autoSpaceDE w:val="0"/>
              <w:autoSpaceDN w:val="0"/>
              <w:adjustRightInd w:val="0"/>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说明和要求</w:t>
            </w:r>
          </w:p>
        </w:tc>
      </w:tr>
      <w:tr w14:paraId="00B23C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773" w:hRule="atLeast"/>
          <w:jc w:val="center"/>
        </w:trPr>
        <w:tc>
          <w:tcPr>
            <w:tcW w:w="268" w:type="pct"/>
            <w:noWrap w:val="0"/>
            <w:vAlign w:val="center"/>
          </w:tcPr>
          <w:p w14:paraId="086711E1">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077" w:type="pct"/>
            <w:noWrap w:val="0"/>
            <w:vAlign w:val="center"/>
          </w:tcPr>
          <w:p w14:paraId="0FEEBE61">
            <w:pPr>
              <w:autoSpaceDE w:val="0"/>
              <w:autoSpaceDN w:val="0"/>
              <w:adjustRightIn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采购预算</w:t>
            </w:r>
          </w:p>
          <w:p w14:paraId="1317DA6E">
            <w:pPr>
              <w:autoSpaceDE w:val="0"/>
              <w:autoSpaceDN w:val="0"/>
              <w:adjustRightIn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（实质性要求）</w:t>
            </w:r>
          </w:p>
        </w:tc>
        <w:tc>
          <w:tcPr>
            <w:tcW w:w="3654" w:type="pct"/>
            <w:noWrap w:val="0"/>
            <w:vAlign w:val="center"/>
          </w:tcPr>
          <w:p w14:paraId="4AC7AC16">
            <w:pPr>
              <w:pStyle w:val="247"/>
              <w:spacing w:line="360" w:lineRule="auto"/>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采购预算：</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万元。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2"/>
                <w:sz w:val="24"/>
                <w:szCs w:val="24"/>
                <w:highlight w:val="none"/>
                <w:lang w:val="zh-CN" w:eastAsia="zh-CN" w:bidi="ar-SA"/>
              </w:rPr>
              <w:t>按具体合同签订为准，且不得超过</w:t>
            </w:r>
            <w:r>
              <w:rPr>
                <w:rFonts w:hint="eastAsia" w:ascii="仿宋" w:hAnsi="仿宋" w:eastAsia="仿宋" w:cs="仿宋"/>
                <w:color w:val="auto"/>
                <w:kern w:val="2"/>
                <w:sz w:val="24"/>
                <w:szCs w:val="24"/>
                <w:highlight w:val="none"/>
                <w:lang w:val="en-US" w:eastAsia="zh-CN" w:bidi="ar-SA"/>
              </w:rPr>
              <w:t>2026</w:t>
            </w:r>
            <w:r>
              <w:rPr>
                <w:rFonts w:hint="eastAsia" w:ascii="仿宋" w:hAnsi="仿宋" w:eastAsia="仿宋" w:cs="仿宋"/>
                <w:color w:val="auto"/>
                <w:kern w:val="2"/>
                <w:sz w:val="24"/>
                <w:szCs w:val="24"/>
                <w:highlight w:val="none"/>
                <w:lang w:val="zh-CN" w:eastAsia="zh-CN" w:bidi="ar-SA"/>
              </w:rPr>
              <w:t>年度</w:t>
            </w:r>
            <w:r>
              <w:rPr>
                <w:rFonts w:hint="eastAsia" w:ascii="仿宋" w:hAnsi="仿宋" w:eastAsia="仿宋" w:cs="仿宋"/>
                <w:color w:val="auto"/>
                <w:kern w:val="2"/>
                <w:sz w:val="24"/>
                <w:szCs w:val="24"/>
                <w:highlight w:val="none"/>
                <w:lang w:val="en-US" w:eastAsia="zh-CN" w:bidi="ar-SA"/>
              </w:rPr>
              <w:t>审计</w:t>
            </w:r>
            <w:r>
              <w:rPr>
                <w:rFonts w:hint="eastAsia" w:ascii="仿宋" w:hAnsi="仿宋" w:eastAsia="仿宋" w:cs="仿宋"/>
                <w:color w:val="auto"/>
                <w:kern w:val="2"/>
                <w:sz w:val="24"/>
                <w:szCs w:val="24"/>
                <w:highlight w:val="none"/>
                <w:lang w:val="zh-CN" w:eastAsia="zh-CN" w:bidi="ar-SA"/>
              </w:rPr>
              <w:t>预算)</w:t>
            </w:r>
          </w:p>
          <w:p w14:paraId="60CB8E45">
            <w:pPr>
              <w:autoSpaceDE w:val="0"/>
              <w:autoSpaceDN w:val="0"/>
              <w:adjustRightInd w:val="0"/>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超过采购预算的报价为无效报价，其响应文件按无效响应文件处理。</w:t>
            </w:r>
          </w:p>
        </w:tc>
      </w:tr>
      <w:tr w14:paraId="043255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787" w:hRule="atLeast"/>
          <w:jc w:val="center"/>
        </w:trPr>
        <w:tc>
          <w:tcPr>
            <w:tcW w:w="268" w:type="pct"/>
            <w:noWrap w:val="0"/>
            <w:vAlign w:val="center"/>
          </w:tcPr>
          <w:p w14:paraId="0044F748">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077" w:type="pct"/>
            <w:noWrap w:val="0"/>
            <w:vAlign w:val="center"/>
          </w:tcPr>
          <w:p w14:paraId="33BCD4C3">
            <w:pPr>
              <w:autoSpaceDE w:val="0"/>
              <w:autoSpaceDN w:val="0"/>
              <w:adjustRightIn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最高限价</w:t>
            </w:r>
          </w:p>
          <w:p w14:paraId="70B2EE5C">
            <w:pPr>
              <w:autoSpaceDE w:val="0"/>
              <w:autoSpaceDN w:val="0"/>
              <w:adjustRightIn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（实质性要求）</w:t>
            </w:r>
          </w:p>
        </w:tc>
        <w:tc>
          <w:tcPr>
            <w:tcW w:w="3654" w:type="pct"/>
            <w:noWrap w:val="0"/>
            <w:vAlign w:val="center"/>
          </w:tcPr>
          <w:p w14:paraId="71A87437">
            <w:pPr>
              <w:pStyle w:val="22"/>
              <w:rPr>
                <w:color w:val="auto"/>
                <w:highlight w:val="none"/>
              </w:rPr>
            </w:pPr>
            <w:r>
              <w:rPr>
                <w:rFonts w:hint="eastAsia" w:ascii="仿宋" w:hAnsi="仿宋" w:eastAsia="仿宋" w:cs="仿宋"/>
                <w:color w:val="auto"/>
                <w:kern w:val="2"/>
                <w:sz w:val="24"/>
                <w:szCs w:val="24"/>
                <w:highlight w:val="none"/>
                <w:lang w:val="en-US" w:eastAsia="zh-CN" w:bidi="ar-SA"/>
              </w:rPr>
              <w:t>每个项目收费参照《四川省发展和改革委员会 四川省财政厅〈四川省会计师事务所服务收费管理办法〉的通知》（川发改价格〔2013〕901号）的相关收费标准计取。收费费率按折扣率进行报价（折扣率=实际执行收费费用/标准收费费率计算出的收费费用×100%，如标准收费费率计算出的收费费用为100，实际执行收费费用为80，则折扣率=80/100×100%=80%），折扣率最高限价为100%，超过最高限价的报价，其比选申请文件作无效处理。</w:t>
            </w:r>
          </w:p>
        </w:tc>
      </w:tr>
      <w:tr w14:paraId="157FC4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268" w:type="pct"/>
            <w:noWrap w:val="0"/>
            <w:vAlign w:val="center"/>
          </w:tcPr>
          <w:p w14:paraId="2A70F004">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077" w:type="pct"/>
            <w:noWrap w:val="0"/>
            <w:vAlign w:val="center"/>
          </w:tcPr>
          <w:p w14:paraId="77B74D12">
            <w:pPr>
              <w:autoSpaceDE w:val="0"/>
              <w:autoSpaceDN w:val="0"/>
              <w:adjustRightIn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低于成本价不正当竞争预防措施</w:t>
            </w:r>
          </w:p>
          <w:p w14:paraId="518732A4">
            <w:pPr>
              <w:autoSpaceDE w:val="0"/>
              <w:autoSpaceDN w:val="0"/>
              <w:adjustRightIn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（实质性要求）</w:t>
            </w:r>
          </w:p>
        </w:tc>
        <w:tc>
          <w:tcPr>
            <w:tcW w:w="3654" w:type="pct"/>
            <w:noWrap w:val="0"/>
            <w:vAlign w:val="center"/>
          </w:tcPr>
          <w:p w14:paraId="6300F505">
            <w:pPr>
              <w:autoSpaceDE w:val="0"/>
              <w:autoSpaceDN w:val="0"/>
              <w:adjustRightInd w:val="0"/>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bCs/>
                <w:color w:val="auto"/>
                <w:sz w:val="24"/>
                <w:highlight w:val="none"/>
              </w:rPr>
              <w:t>比选小组</w:t>
            </w:r>
            <w:r>
              <w:rPr>
                <w:rFonts w:hint="eastAsia" w:ascii="仿宋" w:hAnsi="仿宋" w:eastAsia="仿宋" w:cs="仿宋"/>
                <w:color w:val="auto"/>
                <w:sz w:val="24"/>
                <w:szCs w:val="24"/>
                <w:highlight w:val="none"/>
              </w:rPr>
              <w:t>认为比选申请人的报价明显低于其他通过符合性审查比选申请人的报价，有可能影响产品质量或者不能诚信履约的，应当要求其在评审现场合理的时间内提供书面说明，必要时提交相关证明材料；比选申请人不能证明其报价合理性的，</w:t>
            </w:r>
            <w:r>
              <w:rPr>
                <w:rFonts w:hint="eastAsia" w:ascii="仿宋" w:hAnsi="仿宋" w:eastAsia="仿宋" w:cs="仿宋"/>
                <w:bCs/>
                <w:color w:val="auto"/>
                <w:sz w:val="24"/>
                <w:highlight w:val="none"/>
              </w:rPr>
              <w:t>比选小组</w:t>
            </w:r>
            <w:r>
              <w:rPr>
                <w:rFonts w:hint="eastAsia" w:ascii="仿宋" w:hAnsi="仿宋" w:eastAsia="仿宋" w:cs="仿宋"/>
                <w:color w:val="auto"/>
                <w:sz w:val="24"/>
                <w:szCs w:val="24"/>
                <w:highlight w:val="none"/>
              </w:rPr>
              <w:t>会应当将其作为无效响应处理。</w:t>
            </w:r>
          </w:p>
          <w:p w14:paraId="52EBD5B5">
            <w:pPr>
              <w:autoSpaceDE w:val="0"/>
              <w:autoSpaceDN w:val="0"/>
              <w:adjustRightInd w:val="0"/>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比选申请人书面说明应当签字确认或者加盖公章，否则无效。书面说明的签字确认，比选申请人为法人的，由其法定代表人/单位负责人或者授权代表签字确认；比选申请人为其他组织的，由其主要负责人或者授权代表签字确认；比选申请人为自然人的，由其本人或者授权代表签字确认。</w:t>
            </w:r>
          </w:p>
          <w:p w14:paraId="6C149578">
            <w:pPr>
              <w:autoSpaceDE w:val="0"/>
              <w:autoSpaceDN w:val="0"/>
              <w:adjustRightInd w:val="0"/>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3、比选申请人提供书面说明后，</w:t>
            </w:r>
            <w:r>
              <w:rPr>
                <w:rFonts w:hint="eastAsia" w:ascii="仿宋" w:hAnsi="仿宋" w:eastAsia="仿宋" w:cs="仿宋"/>
                <w:bCs/>
                <w:color w:val="auto"/>
                <w:sz w:val="24"/>
                <w:highlight w:val="none"/>
              </w:rPr>
              <w:t>比选小组</w:t>
            </w:r>
            <w:r>
              <w:rPr>
                <w:rFonts w:hint="eastAsia" w:ascii="仿宋" w:hAnsi="仿宋" w:eastAsia="仿宋" w:cs="仿宋"/>
                <w:color w:val="auto"/>
                <w:sz w:val="24"/>
                <w:szCs w:val="24"/>
                <w:highlight w:val="none"/>
              </w:rPr>
              <w:t>应当结合采购项目采购需求、专业实际情况、比选申请人财务状况报告、与其他比选申请人比较情况等就比选申请人书面说明进行审查评价。比选申请人拒绝或者变相拒绝提供有效书面说明或者书面说明不能证明其报价合理性的，</w:t>
            </w:r>
            <w:r>
              <w:rPr>
                <w:rFonts w:hint="eastAsia" w:ascii="仿宋" w:hAnsi="仿宋" w:eastAsia="仿宋" w:cs="仿宋"/>
                <w:bCs/>
                <w:color w:val="auto"/>
                <w:sz w:val="24"/>
                <w:highlight w:val="none"/>
              </w:rPr>
              <w:t>比选小组</w:t>
            </w:r>
            <w:r>
              <w:rPr>
                <w:rFonts w:hint="eastAsia" w:ascii="仿宋" w:hAnsi="仿宋" w:eastAsia="仿宋" w:cs="仿宋"/>
                <w:color w:val="auto"/>
                <w:sz w:val="24"/>
                <w:szCs w:val="24"/>
                <w:highlight w:val="none"/>
              </w:rPr>
              <w:t>应当将其响应文件作为无效处理。</w:t>
            </w:r>
          </w:p>
        </w:tc>
      </w:tr>
      <w:tr w14:paraId="082C6C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268" w:type="pct"/>
            <w:noWrap w:val="0"/>
            <w:vAlign w:val="center"/>
          </w:tcPr>
          <w:p w14:paraId="1AC70C88">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077" w:type="pct"/>
            <w:noWrap w:val="0"/>
            <w:vAlign w:val="center"/>
          </w:tcPr>
          <w:p w14:paraId="1EB148E1">
            <w:pPr>
              <w:wordWrap w:val="0"/>
              <w:spacing w:line="360" w:lineRule="auto"/>
              <w:jc w:val="center"/>
              <w:rPr>
                <w:rFonts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比选保证金</w:t>
            </w:r>
          </w:p>
          <w:p w14:paraId="29E63A63">
            <w:pPr>
              <w:wordWrap w:val="0"/>
              <w:spacing w:line="360" w:lineRule="auto"/>
              <w:jc w:val="center"/>
              <w:rPr>
                <w:rFonts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（实质性要求）</w:t>
            </w:r>
          </w:p>
        </w:tc>
        <w:tc>
          <w:tcPr>
            <w:tcW w:w="3654" w:type="pct"/>
            <w:noWrap w:val="0"/>
            <w:vAlign w:val="center"/>
          </w:tcPr>
          <w:p w14:paraId="17D74679">
            <w:pPr>
              <w:wordWrap w:val="0"/>
              <w:spacing w:line="360" w:lineRule="auto"/>
              <w:rPr>
                <w:rFonts w:ascii="仿宋" w:hAnsi="仿宋" w:eastAsia="仿宋" w:cs="仿宋"/>
                <w:color w:val="auto"/>
                <w:kern w:val="1"/>
                <w:sz w:val="24"/>
                <w:szCs w:val="24"/>
                <w:highlight w:val="none"/>
              </w:rPr>
            </w:pPr>
            <w:r>
              <w:rPr>
                <w:rFonts w:hint="eastAsia" w:ascii="仿宋" w:hAnsi="仿宋" w:eastAsia="仿宋" w:cs="仿宋"/>
                <w:color w:val="auto"/>
                <w:sz w:val="24"/>
                <w:szCs w:val="24"/>
                <w:highlight w:val="none"/>
                <w:lang w:val="zh-CN"/>
              </w:rPr>
              <w:t>本项目不收取。</w:t>
            </w:r>
          </w:p>
        </w:tc>
      </w:tr>
      <w:tr w14:paraId="090A85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95" w:hRule="atLeast"/>
          <w:jc w:val="center"/>
        </w:trPr>
        <w:tc>
          <w:tcPr>
            <w:tcW w:w="268" w:type="pct"/>
            <w:noWrap w:val="0"/>
            <w:vAlign w:val="center"/>
          </w:tcPr>
          <w:p w14:paraId="49354FC0">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1077" w:type="pct"/>
            <w:noWrap w:val="0"/>
            <w:vAlign w:val="center"/>
          </w:tcPr>
          <w:p w14:paraId="1258C46D">
            <w:pPr>
              <w:wordWrap w:val="0"/>
              <w:spacing w:line="360" w:lineRule="auto"/>
              <w:jc w:val="center"/>
              <w:rPr>
                <w:rFonts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lang w:val="zh-CN"/>
              </w:rPr>
              <w:t>履约保证金</w:t>
            </w:r>
          </w:p>
          <w:p w14:paraId="1945943A">
            <w:pPr>
              <w:wordWrap w:val="0"/>
              <w:spacing w:line="360" w:lineRule="auto"/>
              <w:jc w:val="center"/>
              <w:rPr>
                <w:rFonts w:ascii="仿宋" w:hAnsi="仿宋" w:eastAsia="仿宋" w:cs="仿宋"/>
                <w:color w:val="auto"/>
                <w:kern w:val="1"/>
                <w:sz w:val="24"/>
                <w:szCs w:val="24"/>
                <w:highlight w:val="none"/>
                <w:lang w:val="zh-CN"/>
              </w:rPr>
            </w:pPr>
            <w:r>
              <w:rPr>
                <w:rFonts w:hint="eastAsia" w:ascii="仿宋" w:hAnsi="仿宋" w:eastAsia="仿宋" w:cs="仿宋"/>
                <w:color w:val="auto"/>
                <w:kern w:val="1"/>
                <w:sz w:val="24"/>
                <w:szCs w:val="24"/>
                <w:highlight w:val="none"/>
              </w:rPr>
              <w:t>（实质性要求）</w:t>
            </w:r>
          </w:p>
        </w:tc>
        <w:tc>
          <w:tcPr>
            <w:tcW w:w="3654" w:type="pct"/>
            <w:noWrap w:val="0"/>
            <w:vAlign w:val="center"/>
          </w:tcPr>
          <w:p w14:paraId="79DDEA2C">
            <w:pPr>
              <w:wordWrap w:val="0"/>
              <w:spacing w:line="360" w:lineRule="auto"/>
              <w:rPr>
                <w:rFonts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本项目不收取。</w:t>
            </w:r>
          </w:p>
        </w:tc>
      </w:tr>
      <w:tr w14:paraId="0474D7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428" w:hRule="atLeast"/>
          <w:jc w:val="center"/>
        </w:trPr>
        <w:tc>
          <w:tcPr>
            <w:tcW w:w="268" w:type="pct"/>
            <w:noWrap w:val="0"/>
            <w:vAlign w:val="center"/>
          </w:tcPr>
          <w:p w14:paraId="29C054A0">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1077" w:type="pct"/>
            <w:noWrap w:val="0"/>
            <w:vAlign w:val="center"/>
          </w:tcPr>
          <w:p w14:paraId="1B7F86DA">
            <w:pPr>
              <w:autoSpaceDE w:val="0"/>
              <w:autoSpaceDN w:val="0"/>
              <w:adjustRightIn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响应文件份数</w:t>
            </w:r>
          </w:p>
        </w:tc>
        <w:tc>
          <w:tcPr>
            <w:tcW w:w="3654" w:type="pct"/>
            <w:noWrap w:val="0"/>
            <w:vAlign w:val="center"/>
          </w:tcPr>
          <w:p w14:paraId="6FEE0C35">
            <w:pPr>
              <w:autoSpaceDE w:val="0"/>
              <w:autoSpaceDN w:val="0"/>
              <w:adjustRightInd w:val="0"/>
              <w:spacing w:line="360" w:lineRule="auto"/>
              <w:jc w:val="left"/>
              <w:rPr>
                <w:rFonts w:ascii="仿宋" w:hAnsi="仿宋" w:eastAsia="仿宋" w:cs="仿宋"/>
                <w:color w:val="auto"/>
                <w:highlight w:val="none"/>
              </w:rPr>
            </w:pPr>
            <w:r>
              <w:rPr>
                <w:rFonts w:hint="eastAsia" w:ascii="仿宋" w:hAnsi="仿宋" w:eastAsia="仿宋" w:cs="仿宋"/>
                <w:b/>
                <w:bCs/>
                <w:color w:val="auto"/>
                <w:sz w:val="24"/>
                <w:szCs w:val="24"/>
                <w:highlight w:val="none"/>
              </w:rPr>
              <w:t>响应文件为一式四份，其中正本一份，副本二份，报价表一份（响应文件中包含一份，还应单独密封提交一份）。</w:t>
            </w:r>
            <w:r>
              <w:rPr>
                <w:rFonts w:hint="eastAsia" w:ascii="仿宋" w:hAnsi="仿宋" w:eastAsia="仿宋" w:cs="仿宋"/>
                <w:color w:val="auto"/>
                <w:sz w:val="24"/>
                <w:szCs w:val="24"/>
                <w:highlight w:val="none"/>
              </w:rPr>
              <w:t>比选申请人应当将响应文件正本和副本分别左侧胶装成册，并分别密封完好，注明采购项目名称、采购项目编号、比选申请人名称、包号（如有分包）、年月日及正本或副本字样。</w:t>
            </w:r>
          </w:p>
        </w:tc>
      </w:tr>
      <w:tr w14:paraId="11BB390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82" w:hRule="atLeast"/>
          <w:jc w:val="center"/>
        </w:trPr>
        <w:tc>
          <w:tcPr>
            <w:tcW w:w="268" w:type="pct"/>
            <w:noWrap w:val="0"/>
            <w:vAlign w:val="center"/>
          </w:tcPr>
          <w:p w14:paraId="1906A4D5">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1077" w:type="pct"/>
            <w:noWrap w:val="0"/>
            <w:vAlign w:val="center"/>
          </w:tcPr>
          <w:p w14:paraId="7E51E3F1">
            <w:pPr>
              <w:autoSpaceDE w:val="0"/>
              <w:autoSpaceDN w:val="0"/>
              <w:adjustRightInd w:val="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比选有效期</w:t>
            </w:r>
          </w:p>
        </w:tc>
        <w:tc>
          <w:tcPr>
            <w:tcW w:w="3654" w:type="pct"/>
            <w:noWrap w:val="0"/>
            <w:vAlign w:val="center"/>
          </w:tcPr>
          <w:p w14:paraId="0CF5FC74">
            <w:pPr>
              <w:autoSpaceDE w:val="0"/>
              <w:autoSpaceDN w:val="0"/>
              <w:adjustRightInd w:val="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本项目比选有效期为递交响应文件截止时间届满后60天</w:t>
            </w:r>
          </w:p>
        </w:tc>
      </w:tr>
      <w:tr w14:paraId="4C6EAB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268" w:type="pct"/>
            <w:noWrap w:val="0"/>
            <w:vAlign w:val="center"/>
          </w:tcPr>
          <w:p w14:paraId="62BC7444">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1077" w:type="pct"/>
            <w:noWrap w:val="0"/>
            <w:vAlign w:val="center"/>
          </w:tcPr>
          <w:p w14:paraId="127ED475">
            <w:pPr>
              <w:autoSpaceDE w:val="0"/>
              <w:autoSpaceDN w:val="0"/>
              <w:adjustRightInd w:val="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比选文件咨询</w:t>
            </w:r>
          </w:p>
        </w:tc>
        <w:tc>
          <w:tcPr>
            <w:tcW w:w="3654" w:type="pct"/>
            <w:noWrap w:val="0"/>
            <w:vAlign w:val="center"/>
          </w:tcPr>
          <w:p w14:paraId="700BD360">
            <w:pPr>
              <w:widowControl/>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联系人：梁老师/徐老师 联系电话：028-61935175/61935686</w:t>
            </w:r>
          </w:p>
        </w:tc>
      </w:tr>
      <w:tr w14:paraId="6EF62F5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268" w:type="pct"/>
            <w:noWrap w:val="0"/>
            <w:vAlign w:val="center"/>
          </w:tcPr>
          <w:p w14:paraId="6748E503">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1077" w:type="pct"/>
            <w:noWrap w:val="0"/>
            <w:vAlign w:val="center"/>
          </w:tcPr>
          <w:p w14:paraId="0E9F81ED">
            <w:pPr>
              <w:autoSpaceDE w:val="0"/>
              <w:autoSpaceDN w:val="0"/>
              <w:adjustRightInd w:val="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开标、评审工作咨询</w:t>
            </w:r>
          </w:p>
        </w:tc>
        <w:tc>
          <w:tcPr>
            <w:tcW w:w="3654" w:type="pct"/>
            <w:noWrap w:val="0"/>
            <w:vAlign w:val="center"/>
          </w:tcPr>
          <w:p w14:paraId="7E708442">
            <w:pPr>
              <w:widowControl/>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联系人：梁老师/徐老师 联系电话：028-61935175/61935686</w:t>
            </w:r>
          </w:p>
        </w:tc>
      </w:tr>
      <w:tr w14:paraId="5DC5F0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268" w:type="pct"/>
            <w:noWrap w:val="0"/>
            <w:vAlign w:val="center"/>
          </w:tcPr>
          <w:p w14:paraId="27B7029C">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12</w:t>
            </w:r>
          </w:p>
        </w:tc>
        <w:tc>
          <w:tcPr>
            <w:tcW w:w="1077" w:type="pct"/>
            <w:noWrap w:val="0"/>
            <w:vAlign w:val="center"/>
          </w:tcPr>
          <w:p w14:paraId="21E7D314">
            <w:pPr>
              <w:autoSpaceDE w:val="0"/>
              <w:autoSpaceDN w:val="0"/>
              <w:adjustRightInd w:val="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评审情况公告</w:t>
            </w:r>
          </w:p>
        </w:tc>
        <w:tc>
          <w:tcPr>
            <w:tcW w:w="3654" w:type="pct"/>
            <w:noWrap w:val="0"/>
            <w:vAlign w:val="center"/>
          </w:tcPr>
          <w:p w14:paraId="7F7437AC">
            <w:pPr>
              <w:autoSpaceDE w:val="0"/>
              <w:autoSpaceDN w:val="0"/>
              <w:adjustRightInd w:val="0"/>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评审结果将四川招投标网.四川商务职业学院官网予以公告。</w:t>
            </w:r>
          </w:p>
        </w:tc>
      </w:tr>
      <w:tr w14:paraId="49C3B4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68" w:type="pct"/>
            <w:noWrap w:val="0"/>
            <w:vAlign w:val="center"/>
          </w:tcPr>
          <w:p w14:paraId="6488AA76">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14</w:t>
            </w:r>
          </w:p>
        </w:tc>
        <w:tc>
          <w:tcPr>
            <w:tcW w:w="1077" w:type="pct"/>
            <w:noWrap w:val="0"/>
            <w:vAlign w:val="center"/>
          </w:tcPr>
          <w:p w14:paraId="3D5D3F5D">
            <w:pPr>
              <w:autoSpaceDE w:val="0"/>
              <w:autoSpaceDN w:val="0"/>
              <w:adjustRightIn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比选申请人询问、质疑</w:t>
            </w:r>
          </w:p>
        </w:tc>
        <w:tc>
          <w:tcPr>
            <w:tcW w:w="3654" w:type="pct"/>
            <w:noWrap w:val="0"/>
            <w:vAlign w:val="center"/>
          </w:tcPr>
          <w:p w14:paraId="503BC613">
            <w:pPr>
              <w:widowControl/>
              <w:spacing w:line="360" w:lineRule="auto"/>
              <w:rPr>
                <w:rFonts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根据四川商务职业学院相关的规定，并由四川商务职业学院</w:t>
            </w:r>
            <w:r>
              <w:rPr>
                <w:rFonts w:hint="eastAsia" w:ascii="仿宋" w:hAnsi="仿宋" w:eastAsia="仿宋" w:cs="仿宋"/>
                <w:b w:val="0"/>
                <w:bCs w:val="0"/>
                <w:color w:val="auto"/>
                <w:sz w:val="24"/>
                <w:szCs w:val="24"/>
                <w:highlight w:val="none"/>
                <w:lang w:eastAsia="zh-CN"/>
              </w:rPr>
              <w:t>纪委办</w:t>
            </w:r>
            <w:r>
              <w:rPr>
                <w:rFonts w:hint="eastAsia" w:ascii="仿宋" w:hAnsi="仿宋" w:eastAsia="仿宋" w:cs="仿宋"/>
                <w:b w:val="0"/>
                <w:bCs w:val="0"/>
                <w:color w:val="auto"/>
                <w:sz w:val="24"/>
                <w:szCs w:val="24"/>
                <w:highlight w:val="none"/>
              </w:rPr>
              <w:t>依法受理和回复。</w:t>
            </w:r>
          </w:p>
          <w:p w14:paraId="42D9B664">
            <w:pPr>
              <w:widowControl/>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联系电话：028-61935385</w:t>
            </w:r>
          </w:p>
          <w:p w14:paraId="72830EA1">
            <w:pPr>
              <w:widowControl/>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地址：成都市温江区和盛镇星艺大道188号善培楼5楼</w:t>
            </w:r>
          </w:p>
        </w:tc>
      </w:tr>
      <w:tr w14:paraId="3C8EA6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68" w:type="pct"/>
            <w:noWrap w:val="0"/>
            <w:vAlign w:val="center"/>
          </w:tcPr>
          <w:p w14:paraId="65940834">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c>
          <w:tcPr>
            <w:tcW w:w="1077" w:type="pct"/>
            <w:noWrap w:val="0"/>
            <w:vAlign w:val="center"/>
          </w:tcPr>
          <w:p w14:paraId="78AE75F0">
            <w:pPr>
              <w:wordWrap w:val="0"/>
              <w:spacing w:line="360" w:lineRule="auto"/>
              <w:jc w:val="center"/>
              <w:rPr>
                <w:rFonts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代理服务费</w:t>
            </w:r>
          </w:p>
        </w:tc>
        <w:tc>
          <w:tcPr>
            <w:tcW w:w="3654" w:type="pct"/>
            <w:noWrap w:val="0"/>
            <w:vAlign w:val="center"/>
          </w:tcPr>
          <w:p w14:paraId="0B743A45">
            <w:pPr>
              <w:widowControl/>
              <w:wordWrap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不收取）</w:t>
            </w:r>
          </w:p>
        </w:tc>
      </w:tr>
    </w:tbl>
    <w:p w14:paraId="130EC450">
      <w:pPr>
        <w:pStyle w:val="195"/>
        <w:ind w:left="630"/>
        <w:rPr>
          <w:rFonts w:ascii="仿宋" w:hAnsi="仿宋" w:eastAsia="仿宋" w:cs="仿宋"/>
          <w:highlight w:val="none"/>
        </w:rPr>
      </w:pPr>
      <w:bookmarkStart w:id="10" w:name="_Toc497923221"/>
    </w:p>
    <w:p w14:paraId="60401E20">
      <w:pPr>
        <w:pStyle w:val="5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0" w:afterAutospacing="0" w:line="252" w:lineRule="atLeast"/>
        <w:ind w:left="0" w:right="0"/>
        <w:jc w:val="center"/>
        <w:rPr>
          <w:rFonts w:hint="eastAsia" w:ascii="仿宋" w:hAnsi="仿宋" w:eastAsia="仿宋" w:cs="仿宋"/>
          <w:color w:val="auto"/>
          <w:sz w:val="21"/>
          <w:szCs w:val="21"/>
          <w:highlight w:val="none"/>
          <w:shd w:val="clear" w:color="auto" w:fill="auto"/>
        </w:rPr>
      </w:pPr>
      <w:r>
        <w:rPr>
          <w:rFonts w:hint="eastAsia" w:ascii="仿宋" w:hAnsi="仿宋" w:eastAsia="仿宋" w:cs="仿宋"/>
          <w:b w:val="0"/>
          <w:i w:val="0"/>
          <w:caps w:val="0"/>
          <w:color w:val="auto"/>
          <w:spacing w:val="0"/>
          <w:sz w:val="21"/>
          <w:szCs w:val="21"/>
          <w:highlight w:val="none"/>
          <w:shd w:val="clear" w:color="auto" w:fill="auto"/>
        </w:rPr>
        <w:t>四川省会计师事务所服务收费标准</w:t>
      </w:r>
    </w:p>
    <w:p w14:paraId="7777C387">
      <w:pPr>
        <w:pStyle w:val="5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0" w:afterAutospacing="0" w:line="252" w:lineRule="atLeast"/>
        <w:ind w:left="0" w:right="0"/>
        <w:jc w:val="center"/>
        <w:rPr>
          <w:rFonts w:hint="eastAsia" w:ascii="仿宋" w:hAnsi="仿宋" w:eastAsia="仿宋" w:cs="仿宋"/>
          <w:color w:val="auto"/>
          <w:sz w:val="21"/>
          <w:szCs w:val="21"/>
          <w:highlight w:val="none"/>
          <w:shd w:val="clear" w:color="auto" w:fill="auto"/>
        </w:rPr>
      </w:pPr>
      <w:r>
        <w:rPr>
          <w:rFonts w:hint="eastAsia" w:ascii="仿宋" w:hAnsi="仿宋" w:eastAsia="仿宋" w:cs="仿宋"/>
          <w:b w:val="0"/>
          <w:i w:val="0"/>
          <w:caps w:val="0"/>
          <w:color w:val="auto"/>
          <w:spacing w:val="0"/>
          <w:sz w:val="21"/>
          <w:szCs w:val="21"/>
          <w:highlight w:val="none"/>
          <w:shd w:val="clear" w:color="auto" w:fill="auto"/>
        </w:rPr>
        <w:t>川发改价钱〔2021〕901号</w:t>
      </w:r>
    </w:p>
    <w:p w14:paraId="01EA97F6">
      <w:pPr>
        <w:pStyle w:val="5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0" w:afterAutospacing="0" w:line="360" w:lineRule="auto"/>
        <w:ind w:left="0" w:right="0"/>
        <w:jc w:val="left"/>
        <w:rPr>
          <w:rFonts w:hint="eastAsia" w:ascii="仿宋" w:hAnsi="仿宋" w:eastAsia="仿宋" w:cs="仿宋"/>
          <w:color w:val="auto"/>
          <w:sz w:val="18"/>
          <w:szCs w:val="18"/>
          <w:highlight w:val="none"/>
          <w:shd w:val="clear" w:color="auto" w:fill="auto"/>
        </w:rPr>
      </w:pPr>
      <w:r>
        <w:rPr>
          <w:rFonts w:hint="eastAsia" w:ascii="微软雅黑" w:hAnsi="微软雅黑" w:eastAsia="微软雅黑" w:cs="微软雅黑"/>
          <w:b w:val="0"/>
          <w:i w:val="0"/>
          <w:caps w:val="0"/>
          <w:color w:val="auto"/>
          <w:spacing w:val="0"/>
          <w:sz w:val="18"/>
          <w:szCs w:val="18"/>
          <w:highlight w:val="none"/>
          <w:shd w:val="clear" w:color="auto" w:fill="auto"/>
        </w:rPr>
        <w:t>一、   计件收费标准</w:t>
      </w:r>
    </w:p>
    <w:tbl>
      <w:tblPr>
        <w:tblStyle w:val="59"/>
        <w:tblW w:w="5420" w:type="pct"/>
        <w:tblInd w:w="0" w:type="dxa"/>
        <w:shd w:val="clear" w:color="auto" w:fill="auto"/>
        <w:tblLayout w:type="fixed"/>
        <w:tblCellMar>
          <w:top w:w="0" w:type="dxa"/>
          <w:left w:w="0" w:type="dxa"/>
          <w:bottom w:w="0" w:type="dxa"/>
          <w:right w:w="0" w:type="dxa"/>
        </w:tblCellMar>
      </w:tblPr>
      <w:tblGrid>
        <w:gridCol w:w="730"/>
        <w:gridCol w:w="773"/>
        <w:gridCol w:w="783"/>
        <w:gridCol w:w="464"/>
        <w:gridCol w:w="730"/>
        <w:gridCol w:w="730"/>
        <w:gridCol w:w="730"/>
        <w:gridCol w:w="730"/>
        <w:gridCol w:w="730"/>
        <w:gridCol w:w="732"/>
        <w:gridCol w:w="737"/>
        <w:gridCol w:w="1372"/>
      </w:tblGrid>
      <w:tr w14:paraId="22B0431E">
        <w:tblPrEx>
          <w:shd w:val="clear" w:color="auto" w:fill="auto"/>
          <w:tblCellMar>
            <w:top w:w="0" w:type="dxa"/>
            <w:left w:w="0" w:type="dxa"/>
            <w:bottom w:w="0" w:type="dxa"/>
            <w:right w:w="0" w:type="dxa"/>
          </w:tblCellMar>
        </w:tblPrEx>
        <w:trPr>
          <w:trHeight w:val="1095" w:hRule="atLeast"/>
        </w:trPr>
        <w:tc>
          <w:tcPr>
            <w:tcW w:w="395" w:type="pc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990BB57">
            <w:pPr>
              <w:pStyle w:val="5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0" w:afterAutospacing="0" w:line="240" w:lineRule="auto"/>
              <w:ind w:left="0" w:right="0"/>
              <w:jc w:val="left"/>
              <w:rPr>
                <w:rFonts w:hint="eastAsia" w:ascii="仿宋_GB2312" w:hAnsi="仿宋_GB2312" w:eastAsia="仿宋_GB2312" w:cs="仿宋_GB2312"/>
                <w:color w:val="auto"/>
                <w:sz w:val="18"/>
                <w:szCs w:val="18"/>
                <w:highlight w:val="none"/>
                <w:shd w:val="clear" w:color="auto" w:fill="auto"/>
              </w:rPr>
            </w:pPr>
            <w:r>
              <w:rPr>
                <w:rFonts w:hint="eastAsia" w:ascii="仿宋_GB2312" w:hAnsi="仿宋_GB2312" w:eastAsia="仿宋_GB2312" w:cs="仿宋_GB2312"/>
                <w:color w:val="auto"/>
                <w:sz w:val="18"/>
                <w:szCs w:val="18"/>
                <w:highlight w:val="none"/>
                <w:shd w:val="clear" w:color="auto" w:fill="auto"/>
              </w:rPr>
              <w:t>项 目</w:t>
            </w:r>
          </w:p>
        </w:tc>
        <w:tc>
          <w:tcPr>
            <w:tcW w:w="417" w:type="pc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8D634C0">
            <w:pPr>
              <w:pStyle w:val="5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0" w:afterAutospacing="0" w:line="240" w:lineRule="auto"/>
              <w:ind w:left="0" w:right="0"/>
              <w:jc w:val="left"/>
              <w:rPr>
                <w:rFonts w:hint="eastAsia" w:ascii="仿宋_GB2312" w:hAnsi="仿宋_GB2312" w:eastAsia="仿宋_GB2312" w:cs="仿宋_GB2312"/>
                <w:color w:val="auto"/>
                <w:sz w:val="18"/>
                <w:szCs w:val="18"/>
                <w:highlight w:val="none"/>
                <w:shd w:val="clear" w:color="auto" w:fill="auto"/>
              </w:rPr>
            </w:pPr>
            <w:r>
              <w:rPr>
                <w:rFonts w:hint="eastAsia" w:ascii="仿宋_GB2312" w:hAnsi="仿宋_GB2312" w:eastAsia="仿宋_GB2312" w:cs="仿宋_GB2312"/>
                <w:color w:val="auto"/>
                <w:sz w:val="18"/>
                <w:szCs w:val="18"/>
                <w:highlight w:val="none"/>
                <w:shd w:val="clear" w:color="auto" w:fill="auto"/>
              </w:rPr>
              <w:t>计费基数</w:t>
            </w:r>
          </w:p>
        </w:tc>
        <w:tc>
          <w:tcPr>
            <w:tcW w:w="423" w:type="pc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2DF31DD">
            <w:pPr>
              <w:pStyle w:val="5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0" w:afterAutospacing="0" w:line="240" w:lineRule="auto"/>
              <w:ind w:left="0" w:right="0"/>
              <w:jc w:val="left"/>
              <w:rPr>
                <w:rFonts w:hint="eastAsia" w:ascii="仿宋_GB2312" w:hAnsi="仿宋_GB2312" w:eastAsia="仿宋_GB2312" w:cs="仿宋_GB2312"/>
                <w:color w:val="auto"/>
                <w:sz w:val="18"/>
                <w:szCs w:val="18"/>
                <w:highlight w:val="none"/>
                <w:shd w:val="clear" w:color="auto" w:fill="auto"/>
              </w:rPr>
            </w:pPr>
            <w:r>
              <w:rPr>
                <w:rFonts w:hint="eastAsia" w:ascii="仿宋_GB2312" w:hAnsi="仿宋_GB2312" w:eastAsia="仿宋_GB2312" w:cs="仿宋_GB2312"/>
                <w:color w:val="auto"/>
                <w:sz w:val="18"/>
                <w:szCs w:val="18"/>
                <w:highlight w:val="none"/>
                <w:shd w:val="clear" w:color="auto" w:fill="auto"/>
              </w:rPr>
              <w:t>100万元（含）以下</w:t>
            </w:r>
          </w:p>
        </w:tc>
        <w:tc>
          <w:tcPr>
            <w:tcW w:w="251" w:type="pc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DA3DD12">
            <w:pPr>
              <w:pStyle w:val="5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0" w:afterAutospacing="0" w:line="240" w:lineRule="auto"/>
              <w:ind w:left="0" w:right="0"/>
              <w:jc w:val="left"/>
              <w:rPr>
                <w:rFonts w:hint="eastAsia" w:ascii="仿宋_GB2312" w:hAnsi="仿宋_GB2312" w:eastAsia="仿宋_GB2312" w:cs="仿宋_GB2312"/>
                <w:color w:val="auto"/>
                <w:sz w:val="18"/>
                <w:szCs w:val="18"/>
                <w:highlight w:val="none"/>
                <w:shd w:val="clear" w:color="auto" w:fill="auto"/>
              </w:rPr>
            </w:pPr>
            <w:r>
              <w:rPr>
                <w:rFonts w:hint="eastAsia" w:ascii="仿宋_GB2312" w:hAnsi="仿宋_GB2312" w:eastAsia="仿宋_GB2312" w:cs="仿宋_GB2312"/>
                <w:color w:val="auto"/>
                <w:sz w:val="18"/>
                <w:szCs w:val="18"/>
                <w:highlight w:val="none"/>
                <w:shd w:val="clear" w:color="auto" w:fill="auto"/>
              </w:rPr>
              <w:t>100万元-500万元（含）</w:t>
            </w:r>
          </w:p>
        </w:tc>
        <w:tc>
          <w:tcPr>
            <w:tcW w:w="395" w:type="pc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D514C3E">
            <w:pPr>
              <w:pStyle w:val="5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0" w:afterAutospacing="0" w:line="240" w:lineRule="auto"/>
              <w:ind w:left="0" w:right="0"/>
              <w:jc w:val="left"/>
              <w:rPr>
                <w:rFonts w:hint="eastAsia" w:ascii="仿宋_GB2312" w:hAnsi="仿宋_GB2312" w:eastAsia="仿宋_GB2312" w:cs="仿宋_GB2312"/>
                <w:color w:val="auto"/>
                <w:sz w:val="18"/>
                <w:szCs w:val="18"/>
                <w:highlight w:val="none"/>
                <w:shd w:val="clear" w:color="auto" w:fill="auto"/>
              </w:rPr>
            </w:pPr>
            <w:r>
              <w:rPr>
                <w:rFonts w:hint="eastAsia" w:ascii="仿宋_GB2312" w:hAnsi="仿宋_GB2312" w:eastAsia="仿宋_GB2312" w:cs="仿宋_GB2312"/>
                <w:color w:val="auto"/>
                <w:sz w:val="18"/>
                <w:szCs w:val="18"/>
                <w:highlight w:val="none"/>
                <w:shd w:val="clear" w:color="auto" w:fill="auto"/>
              </w:rPr>
              <w:t>500万元-1000万元（含）</w:t>
            </w:r>
          </w:p>
        </w:tc>
        <w:tc>
          <w:tcPr>
            <w:tcW w:w="395" w:type="pc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C2350BA">
            <w:pPr>
              <w:pStyle w:val="5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0" w:afterAutospacing="0" w:line="240" w:lineRule="auto"/>
              <w:ind w:left="0" w:right="0"/>
              <w:jc w:val="left"/>
              <w:rPr>
                <w:rFonts w:hint="eastAsia" w:ascii="仿宋_GB2312" w:hAnsi="仿宋_GB2312" w:eastAsia="仿宋_GB2312" w:cs="仿宋_GB2312"/>
                <w:color w:val="auto"/>
                <w:sz w:val="18"/>
                <w:szCs w:val="18"/>
                <w:highlight w:val="none"/>
                <w:shd w:val="clear" w:color="auto" w:fill="auto"/>
              </w:rPr>
            </w:pPr>
            <w:r>
              <w:rPr>
                <w:rFonts w:hint="eastAsia" w:ascii="仿宋_GB2312" w:hAnsi="仿宋_GB2312" w:eastAsia="仿宋_GB2312" w:cs="仿宋_GB2312"/>
                <w:color w:val="auto"/>
                <w:sz w:val="18"/>
                <w:szCs w:val="18"/>
                <w:highlight w:val="none"/>
                <w:shd w:val="clear" w:color="auto" w:fill="auto"/>
              </w:rPr>
              <w:t>1000万元-5000万元（含）</w:t>
            </w:r>
          </w:p>
        </w:tc>
        <w:tc>
          <w:tcPr>
            <w:tcW w:w="395" w:type="pc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6346D2A">
            <w:pPr>
              <w:pStyle w:val="5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0" w:afterAutospacing="0" w:line="240" w:lineRule="auto"/>
              <w:ind w:left="0" w:right="0"/>
              <w:jc w:val="left"/>
              <w:rPr>
                <w:rFonts w:hint="eastAsia" w:ascii="仿宋_GB2312" w:hAnsi="仿宋_GB2312" w:eastAsia="仿宋_GB2312" w:cs="仿宋_GB2312"/>
                <w:color w:val="auto"/>
                <w:sz w:val="18"/>
                <w:szCs w:val="18"/>
                <w:highlight w:val="none"/>
                <w:shd w:val="clear" w:color="auto" w:fill="auto"/>
              </w:rPr>
            </w:pPr>
            <w:r>
              <w:rPr>
                <w:rFonts w:hint="eastAsia" w:ascii="仿宋_GB2312" w:hAnsi="仿宋_GB2312" w:eastAsia="仿宋_GB2312" w:cs="仿宋_GB2312"/>
                <w:color w:val="auto"/>
                <w:sz w:val="18"/>
                <w:szCs w:val="18"/>
                <w:highlight w:val="none"/>
                <w:shd w:val="clear" w:color="auto" w:fill="auto"/>
              </w:rPr>
              <w:t>5000万元-1亿元（含）</w:t>
            </w:r>
          </w:p>
        </w:tc>
        <w:tc>
          <w:tcPr>
            <w:tcW w:w="395" w:type="pc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C618B25">
            <w:pPr>
              <w:pStyle w:val="5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0" w:afterAutospacing="0" w:line="240" w:lineRule="auto"/>
              <w:ind w:left="0" w:right="0"/>
              <w:jc w:val="left"/>
              <w:rPr>
                <w:rFonts w:hint="eastAsia" w:ascii="仿宋_GB2312" w:hAnsi="仿宋_GB2312" w:eastAsia="仿宋_GB2312" w:cs="仿宋_GB2312"/>
                <w:color w:val="auto"/>
                <w:sz w:val="18"/>
                <w:szCs w:val="18"/>
                <w:highlight w:val="none"/>
                <w:shd w:val="clear" w:color="auto" w:fill="auto"/>
              </w:rPr>
            </w:pPr>
            <w:r>
              <w:rPr>
                <w:rFonts w:hint="eastAsia" w:ascii="仿宋_GB2312" w:hAnsi="仿宋_GB2312" w:eastAsia="仿宋_GB2312" w:cs="仿宋_GB2312"/>
                <w:color w:val="auto"/>
                <w:sz w:val="18"/>
                <w:szCs w:val="18"/>
                <w:highlight w:val="none"/>
                <w:shd w:val="clear" w:color="auto" w:fill="auto"/>
              </w:rPr>
              <w:t>1-5亿元（含）</w:t>
            </w:r>
          </w:p>
        </w:tc>
        <w:tc>
          <w:tcPr>
            <w:tcW w:w="395" w:type="pc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C602DB1">
            <w:pPr>
              <w:pStyle w:val="5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0" w:afterAutospacing="0" w:line="240" w:lineRule="auto"/>
              <w:ind w:left="0" w:right="0"/>
              <w:jc w:val="left"/>
              <w:rPr>
                <w:rFonts w:hint="eastAsia" w:ascii="仿宋_GB2312" w:hAnsi="仿宋_GB2312" w:eastAsia="仿宋_GB2312" w:cs="仿宋_GB2312"/>
                <w:color w:val="auto"/>
                <w:sz w:val="18"/>
                <w:szCs w:val="18"/>
                <w:highlight w:val="none"/>
                <w:shd w:val="clear" w:color="auto" w:fill="auto"/>
              </w:rPr>
            </w:pPr>
            <w:r>
              <w:rPr>
                <w:rFonts w:hint="eastAsia" w:ascii="仿宋_GB2312" w:hAnsi="仿宋_GB2312" w:eastAsia="仿宋_GB2312" w:cs="仿宋_GB2312"/>
                <w:color w:val="auto"/>
                <w:sz w:val="18"/>
                <w:szCs w:val="18"/>
                <w:highlight w:val="none"/>
                <w:shd w:val="clear" w:color="auto" w:fill="auto"/>
              </w:rPr>
              <w:t>5-10亿元（含）</w:t>
            </w:r>
          </w:p>
        </w:tc>
        <w:tc>
          <w:tcPr>
            <w:tcW w:w="396" w:type="pc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6902510">
            <w:pPr>
              <w:pStyle w:val="5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0" w:afterAutospacing="0" w:line="240" w:lineRule="auto"/>
              <w:ind w:left="0" w:right="0"/>
              <w:jc w:val="left"/>
              <w:rPr>
                <w:rFonts w:hint="eastAsia" w:ascii="仿宋_GB2312" w:hAnsi="仿宋_GB2312" w:eastAsia="仿宋_GB2312" w:cs="仿宋_GB2312"/>
                <w:color w:val="auto"/>
                <w:sz w:val="18"/>
                <w:szCs w:val="18"/>
                <w:highlight w:val="none"/>
                <w:shd w:val="clear" w:color="auto" w:fill="auto"/>
              </w:rPr>
            </w:pPr>
            <w:r>
              <w:rPr>
                <w:rFonts w:hint="eastAsia" w:ascii="仿宋_GB2312" w:hAnsi="仿宋_GB2312" w:eastAsia="仿宋_GB2312" w:cs="仿宋_GB2312"/>
                <w:color w:val="auto"/>
                <w:sz w:val="18"/>
                <w:szCs w:val="18"/>
                <w:highlight w:val="none"/>
                <w:shd w:val="clear" w:color="auto" w:fill="auto"/>
              </w:rPr>
              <w:t>10-100亿元（含）</w:t>
            </w:r>
          </w:p>
        </w:tc>
        <w:tc>
          <w:tcPr>
            <w:tcW w:w="398" w:type="pc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23F450B">
            <w:pPr>
              <w:pStyle w:val="5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0" w:afterAutospacing="0" w:line="240" w:lineRule="auto"/>
              <w:ind w:left="0" w:right="0"/>
              <w:jc w:val="left"/>
              <w:rPr>
                <w:rFonts w:hint="eastAsia" w:ascii="仿宋_GB2312" w:hAnsi="仿宋_GB2312" w:eastAsia="仿宋_GB2312" w:cs="仿宋_GB2312"/>
                <w:color w:val="auto"/>
                <w:sz w:val="18"/>
                <w:szCs w:val="18"/>
                <w:highlight w:val="none"/>
                <w:shd w:val="clear" w:color="auto" w:fill="auto"/>
              </w:rPr>
            </w:pPr>
            <w:r>
              <w:rPr>
                <w:rFonts w:hint="eastAsia" w:ascii="仿宋_GB2312" w:hAnsi="仿宋_GB2312" w:eastAsia="仿宋_GB2312" w:cs="仿宋_GB2312"/>
                <w:color w:val="auto"/>
                <w:sz w:val="18"/>
                <w:szCs w:val="18"/>
                <w:highlight w:val="none"/>
                <w:shd w:val="clear" w:color="auto" w:fill="auto"/>
              </w:rPr>
              <w:t>100亿元以上</w:t>
            </w:r>
          </w:p>
        </w:tc>
        <w:tc>
          <w:tcPr>
            <w:tcW w:w="742" w:type="pc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02DDAF0">
            <w:pPr>
              <w:pStyle w:val="5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0" w:afterAutospacing="0" w:line="240" w:lineRule="auto"/>
              <w:ind w:left="0" w:right="0"/>
              <w:jc w:val="left"/>
              <w:rPr>
                <w:rFonts w:hint="eastAsia" w:ascii="仿宋_GB2312" w:hAnsi="仿宋_GB2312" w:eastAsia="仿宋_GB2312" w:cs="仿宋_GB2312"/>
                <w:color w:val="auto"/>
                <w:sz w:val="18"/>
                <w:szCs w:val="18"/>
                <w:highlight w:val="none"/>
                <w:shd w:val="clear" w:color="auto" w:fill="auto"/>
              </w:rPr>
            </w:pPr>
            <w:r>
              <w:rPr>
                <w:rFonts w:hint="eastAsia" w:ascii="仿宋_GB2312" w:hAnsi="仿宋_GB2312" w:eastAsia="仿宋_GB2312" w:cs="仿宋_GB2312"/>
                <w:color w:val="auto"/>
                <w:sz w:val="18"/>
                <w:szCs w:val="18"/>
                <w:highlight w:val="none"/>
                <w:shd w:val="clear" w:color="auto" w:fill="auto"/>
              </w:rPr>
              <w:t>备  注</w:t>
            </w:r>
          </w:p>
        </w:tc>
      </w:tr>
      <w:tr w14:paraId="68CE8970">
        <w:tblPrEx>
          <w:shd w:val="clear" w:color="auto" w:fill="auto"/>
          <w:tblCellMar>
            <w:top w:w="0" w:type="dxa"/>
            <w:left w:w="0" w:type="dxa"/>
            <w:bottom w:w="0" w:type="dxa"/>
            <w:right w:w="0" w:type="dxa"/>
          </w:tblCellMar>
        </w:tblPrEx>
        <w:trPr>
          <w:trHeight w:val="458" w:hRule="atLeast"/>
        </w:trPr>
        <w:tc>
          <w:tcPr>
            <w:tcW w:w="395"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3D2274D">
            <w:pPr>
              <w:pStyle w:val="5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0" w:afterAutospacing="0" w:line="240" w:lineRule="auto"/>
              <w:ind w:left="0" w:right="0"/>
              <w:jc w:val="left"/>
              <w:rPr>
                <w:rFonts w:hint="eastAsia" w:ascii="仿宋_GB2312" w:hAnsi="仿宋_GB2312" w:eastAsia="仿宋_GB2312" w:cs="仿宋_GB2312"/>
                <w:color w:val="auto"/>
                <w:sz w:val="18"/>
                <w:szCs w:val="18"/>
                <w:highlight w:val="none"/>
                <w:shd w:val="clear" w:color="auto" w:fill="auto"/>
              </w:rPr>
            </w:pPr>
            <w:r>
              <w:rPr>
                <w:rFonts w:hint="eastAsia" w:ascii="仿宋_GB2312" w:hAnsi="仿宋_GB2312" w:eastAsia="仿宋_GB2312" w:cs="仿宋_GB2312"/>
                <w:color w:val="auto"/>
                <w:sz w:val="18"/>
                <w:szCs w:val="18"/>
                <w:highlight w:val="none"/>
                <w:shd w:val="clear" w:color="auto" w:fill="auto"/>
              </w:rPr>
              <w:t>财务报表审计（年）</w:t>
            </w:r>
          </w:p>
        </w:tc>
        <w:tc>
          <w:tcPr>
            <w:tcW w:w="417" w:type="pct"/>
            <w:tcBorders>
              <w:top w:val="nil"/>
              <w:left w:val="nil"/>
              <w:bottom w:val="single" w:color="auto" w:sz="8" w:space="0"/>
              <w:right w:val="single" w:color="auto" w:sz="8" w:space="0"/>
            </w:tcBorders>
            <w:shd w:val="clear" w:color="auto" w:fill="auto"/>
            <w:tcMar>
              <w:left w:w="108" w:type="dxa"/>
              <w:right w:w="108" w:type="dxa"/>
            </w:tcMar>
            <w:vAlign w:val="center"/>
          </w:tcPr>
          <w:p w14:paraId="77B8B80B">
            <w:pPr>
              <w:pStyle w:val="5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0" w:afterAutospacing="0" w:line="240" w:lineRule="auto"/>
              <w:ind w:left="0" w:right="0"/>
              <w:jc w:val="left"/>
              <w:rPr>
                <w:rFonts w:hint="eastAsia" w:ascii="仿宋_GB2312" w:hAnsi="仿宋_GB2312" w:eastAsia="仿宋_GB2312" w:cs="仿宋_GB2312"/>
                <w:color w:val="auto"/>
                <w:sz w:val="18"/>
                <w:szCs w:val="18"/>
                <w:highlight w:val="none"/>
                <w:shd w:val="clear" w:color="auto" w:fill="auto"/>
              </w:rPr>
            </w:pPr>
            <w:r>
              <w:rPr>
                <w:rFonts w:hint="eastAsia" w:ascii="仿宋_GB2312" w:hAnsi="仿宋_GB2312" w:eastAsia="仿宋_GB2312" w:cs="仿宋_GB2312"/>
                <w:color w:val="auto"/>
                <w:sz w:val="18"/>
                <w:szCs w:val="18"/>
                <w:highlight w:val="none"/>
                <w:shd w:val="clear" w:color="auto" w:fill="auto"/>
              </w:rPr>
              <w:t>资产总额、营业收入</w:t>
            </w:r>
          </w:p>
        </w:tc>
        <w:tc>
          <w:tcPr>
            <w:tcW w:w="423" w:type="pct"/>
            <w:tcBorders>
              <w:top w:val="nil"/>
              <w:left w:val="nil"/>
              <w:bottom w:val="single" w:color="auto" w:sz="8" w:space="0"/>
              <w:right w:val="single" w:color="auto" w:sz="8" w:space="0"/>
            </w:tcBorders>
            <w:shd w:val="clear" w:color="auto" w:fill="auto"/>
            <w:tcMar>
              <w:left w:w="108" w:type="dxa"/>
              <w:right w:w="108" w:type="dxa"/>
            </w:tcMar>
            <w:vAlign w:val="center"/>
          </w:tcPr>
          <w:p w14:paraId="079F87F4">
            <w:pPr>
              <w:pStyle w:val="5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0" w:afterAutospacing="0" w:line="240" w:lineRule="auto"/>
              <w:ind w:left="0" w:right="0"/>
              <w:jc w:val="left"/>
              <w:rPr>
                <w:rFonts w:hint="eastAsia" w:ascii="仿宋_GB2312" w:hAnsi="仿宋_GB2312" w:eastAsia="仿宋_GB2312" w:cs="仿宋_GB2312"/>
                <w:color w:val="auto"/>
                <w:sz w:val="18"/>
                <w:szCs w:val="18"/>
                <w:highlight w:val="none"/>
                <w:shd w:val="clear" w:color="auto" w:fill="auto"/>
              </w:rPr>
            </w:pPr>
            <w:r>
              <w:rPr>
                <w:rFonts w:hint="eastAsia" w:ascii="仿宋_GB2312" w:hAnsi="仿宋_GB2312" w:eastAsia="仿宋_GB2312" w:cs="仿宋_GB2312"/>
                <w:color w:val="auto"/>
                <w:sz w:val="18"/>
                <w:szCs w:val="18"/>
                <w:highlight w:val="none"/>
                <w:shd w:val="clear" w:color="auto" w:fill="auto"/>
              </w:rPr>
              <w:t>5‰（低于2000元按2000元计收）</w:t>
            </w:r>
          </w:p>
        </w:tc>
        <w:tc>
          <w:tcPr>
            <w:tcW w:w="251" w:type="pct"/>
            <w:tcBorders>
              <w:top w:val="nil"/>
              <w:left w:val="nil"/>
              <w:bottom w:val="single" w:color="auto" w:sz="8" w:space="0"/>
              <w:right w:val="single" w:color="auto" w:sz="8" w:space="0"/>
            </w:tcBorders>
            <w:shd w:val="clear" w:color="auto" w:fill="auto"/>
            <w:tcMar>
              <w:left w:w="108" w:type="dxa"/>
              <w:right w:w="108" w:type="dxa"/>
            </w:tcMar>
            <w:vAlign w:val="center"/>
          </w:tcPr>
          <w:p w14:paraId="3C915C12">
            <w:pPr>
              <w:pStyle w:val="5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0" w:afterAutospacing="0" w:line="240" w:lineRule="auto"/>
              <w:ind w:left="0" w:right="0"/>
              <w:jc w:val="left"/>
              <w:rPr>
                <w:rFonts w:hint="eastAsia" w:ascii="仿宋_GB2312" w:hAnsi="仿宋_GB2312" w:eastAsia="仿宋_GB2312" w:cs="仿宋_GB2312"/>
                <w:color w:val="auto"/>
                <w:sz w:val="18"/>
                <w:szCs w:val="18"/>
                <w:highlight w:val="none"/>
                <w:shd w:val="clear" w:color="auto" w:fill="auto"/>
              </w:rPr>
            </w:pPr>
            <w:r>
              <w:rPr>
                <w:rFonts w:hint="eastAsia" w:ascii="仿宋_GB2312" w:hAnsi="仿宋_GB2312" w:eastAsia="仿宋_GB2312" w:cs="仿宋_GB2312"/>
                <w:color w:val="auto"/>
                <w:sz w:val="18"/>
                <w:szCs w:val="18"/>
                <w:highlight w:val="none"/>
                <w:shd w:val="clear" w:color="auto" w:fill="auto"/>
              </w:rPr>
              <w:t>1.5‰</w:t>
            </w:r>
          </w:p>
        </w:tc>
        <w:tc>
          <w:tcPr>
            <w:tcW w:w="395" w:type="pct"/>
            <w:tcBorders>
              <w:top w:val="nil"/>
              <w:left w:val="nil"/>
              <w:bottom w:val="single" w:color="auto" w:sz="8" w:space="0"/>
              <w:right w:val="single" w:color="auto" w:sz="8" w:space="0"/>
            </w:tcBorders>
            <w:shd w:val="clear" w:color="auto" w:fill="auto"/>
            <w:tcMar>
              <w:left w:w="108" w:type="dxa"/>
              <w:right w:w="108" w:type="dxa"/>
            </w:tcMar>
            <w:vAlign w:val="center"/>
          </w:tcPr>
          <w:p w14:paraId="62C45DBE">
            <w:pPr>
              <w:pStyle w:val="5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0" w:afterAutospacing="0" w:line="240" w:lineRule="auto"/>
              <w:ind w:left="0" w:right="0"/>
              <w:jc w:val="left"/>
              <w:rPr>
                <w:rFonts w:hint="eastAsia" w:ascii="仿宋_GB2312" w:hAnsi="仿宋_GB2312" w:eastAsia="仿宋_GB2312" w:cs="仿宋_GB2312"/>
                <w:color w:val="auto"/>
                <w:sz w:val="18"/>
                <w:szCs w:val="18"/>
                <w:highlight w:val="none"/>
                <w:shd w:val="clear" w:color="auto" w:fill="auto"/>
              </w:rPr>
            </w:pPr>
            <w:r>
              <w:rPr>
                <w:rFonts w:hint="eastAsia" w:ascii="仿宋_GB2312" w:hAnsi="仿宋_GB2312" w:eastAsia="仿宋_GB2312" w:cs="仿宋_GB2312"/>
                <w:color w:val="auto"/>
                <w:sz w:val="18"/>
                <w:szCs w:val="18"/>
                <w:highlight w:val="none"/>
                <w:shd w:val="clear" w:color="auto" w:fill="auto"/>
              </w:rPr>
              <w:t>0.8‰</w:t>
            </w:r>
          </w:p>
        </w:tc>
        <w:tc>
          <w:tcPr>
            <w:tcW w:w="395" w:type="pct"/>
            <w:tcBorders>
              <w:top w:val="nil"/>
              <w:left w:val="nil"/>
              <w:bottom w:val="single" w:color="auto" w:sz="8" w:space="0"/>
              <w:right w:val="single" w:color="auto" w:sz="8" w:space="0"/>
            </w:tcBorders>
            <w:shd w:val="clear" w:color="auto" w:fill="auto"/>
            <w:tcMar>
              <w:left w:w="108" w:type="dxa"/>
              <w:right w:w="108" w:type="dxa"/>
            </w:tcMar>
            <w:vAlign w:val="center"/>
          </w:tcPr>
          <w:p w14:paraId="3C4978E0">
            <w:pPr>
              <w:pStyle w:val="5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0" w:afterAutospacing="0" w:line="240" w:lineRule="auto"/>
              <w:ind w:left="0" w:right="0"/>
              <w:jc w:val="left"/>
              <w:rPr>
                <w:rFonts w:hint="eastAsia" w:ascii="仿宋_GB2312" w:hAnsi="仿宋_GB2312" w:eastAsia="仿宋_GB2312" w:cs="仿宋_GB2312"/>
                <w:color w:val="auto"/>
                <w:sz w:val="18"/>
                <w:szCs w:val="18"/>
                <w:highlight w:val="none"/>
                <w:shd w:val="clear" w:color="auto" w:fill="auto"/>
              </w:rPr>
            </w:pPr>
            <w:r>
              <w:rPr>
                <w:rFonts w:hint="eastAsia" w:ascii="仿宋_GB2312" w:hAnsi="仿宋_GB2312" w:eastAsia="仿宋_GB2312" w:cs="仿宋_GB2312"/>
                <w:color w:val="auto"/>
                <w:sz w:val="18"/>
                <w:szCs w:val="18"/>
                <w:highlight w:val="none"/>
                <w:shd w:val="clear" w:color="auto" w:fill="auto"/>
              </w:rPr>
              <w:t>0.4‰</w:t>
            </w:r>
          </w:p>
        </w:tc>
        <w:tc>
          <w:tcPr>
            <w:tcW w:w="395" w:type="pct"/>
            <w:tcBorders>
              <w:top w:val="nil"/>
              <w:left w:val="nil"/>
              <w:bottom w:val="single" w:color="auto" w:sz="8" w:space="0"/>
              <w:right w:val="single" w:color="auto" w:sz="8" w:space="0"/>
            </w:tcBorders>
            <w:shd w:val="clear" w:color="auto" w:fill="auto"/>
            <w:tcMar>
              <w:left w:w="108" w:type="dxa"/>
              <w:right w:w="108" w:type="dxa"/>
            </w:tcMar>
            <w:vAlign w:val="center"/>
          </w:tcPr>
          <w:p w14:paraId="33BBF902">
            <w:pPr>
              <w:pStyle w:val="5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0" w:afterAutospacing="0" w:line="240" w:lineRule="auto"/>
              <w:ind w:left="0" w:right="0"/>
              <w:jc w:val="left"/>
              <w:rPr>
                <w:rFonts w:hint="eastAsia" w:ascii="仿宋_GB2312" w:hAnsi="仿宋_GB2312" w:eastAsia="仿宋_GB2312" w:cs="仿宋_GB2312"/>
                <w:color w:val="auto"/>
                <w:sz w:val="18"/>
                <w:szCs w:val="18"/>
                <w:highlight w:val="none"/>
                <w:shd w:val="clear" w:color="auto" w:fill="auto"/>
              </w:rPr>
            </w:pPr>
            <w:r>
              <w:rPr>
                <w:rFonts w:hint="eastAsia" w:ascii="仿宋_GB2312" w:hAnsi="仿宋_GB2312" w:eastAsia="仿宋_GB2312" w:cs="仿宋_GB2312"/>
                <w:color w:val="auto"/>
                <w:sz w:val="18"/>
                <w:szCs w:val="18"/>
                <w:highlight w:val="none"/>
                <w:shd w:val="clear" w:color="auto" w:fill="auto"/>
              </w:rPr>
              <w:t>0.3‰</w:t>
            </w:r>
          </w:p>
        </w:tc>
        <w:tc>
          <w:tcPr>
            <w:tcW w:w="395" w:type="pct"/>
            <w:tcBorders>
              <w:top w:val="nil"/>
              <w:left w:val="nil"/>
              <w:bottom w:val="single" w:color="auto" w:sz="8" w:space="0"/>
              <w:right w:val="single" w:color="auto" w:sz="8" w:space="0"/>
            </w:tcBorders>
            <w:shd w:val="clear" w:color="auto" w:fill="auto"/>
            <w:tcMar>
              <w:left w:w="108" w:type="dxa"/>
              <w:right w:w="108" w:type="dxa"/>
            </w:tcMar>
            <w:vAlign w:val="center"/>
          </w:tcPr>
          <w:p w14:paraId="5944A806">
            <w:pPr>
              <w:pStyle w:val="5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0" w:afterAutospacing="0" w:line="240" w:lineRule="auto"/>
              <w:ind w:left="0" w:right="0"/>
              <w:jc w:val="left"/>
              <w:rPr>
                <w:rFonts w:hint="eastAsia" w:ascii="仿宋_GB2312" w:hAnsi="仿宋_GB2312" w:eastAsia="仿宋_GB2312" w:cs="仿宋_GB2312"/>
                <w:color w:val="auto"/>
                <w:sz w:val="18"/>
                <w:szCs w:val="18"/>
                <w:highlight w:val="none"/>
                <w:shd w:val="clear" w:color="auto" w:fill="auto"/>
              </w:rPr>
            </w:pPr>
            <w:r>
              <w:rPr>
                <w:rFonts w:hint="eastAsia" w:ascii="仿宋_GB2312" w:hAnsi="仿宋_GB2312" w:eastAsia="仿宋_GB2312" w:cs="仿宋_GB2312"/>
                <w:color w:val="auto"/>
                <w:sz w:val="18"/>
                <w:szCs w:val="18"/>
                <w:highlight w:val="none"/>
                <w:shd w:val="clear" w:color="auto" w:fill="auto"/>
              </w:rPr>
              <w:t>0.22‰</w:t>
            </w:r>
          </w:p>
        </w:tc>
        <w:tc>
          <w:tcPr>
            <w:tcW w:w="395" w:type="pct"/>
            <w:tcBorders>
              <w:top w:val="nil"/>
              <w:left w:val="nil"/>
              <w:bottom w:val="single" w:color="auto" w:sz="8" w:space="0"/>
              <w:right w:val="single" w:color="auto" w:sz="8" w:space="0"/>
            </w:tcBorders>
            <w:shd w:val="clear" w:color="auto" w:fill="auto"/>
            <w:tcMar>
              <w:left w:w="108" w:type="dxa"/>
              <w:right w:w="108" w:type="dxa"/>
            </w:tcMar>
            <w:vAlign w:val="center"/>
          </w:tcPr>
          <w:p w14:paraId="094CB984">
            <w:pPr>
              <w:pStyle w:val="5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0" w:afterAutospacing="0" w:line="240" w:lineRule="auto"/>
              <w:ind w:left="0" w:right="0"/>
              <w:jc w:val="left"/>
              <w:rPr>
                <w:rFonts w:hint="eastAsia" w:ascii="仿宋_GB2312" w:hAnsi="仿宋_GB2312" w:eastAsia="仿宋_GB2312" w:cs="仿宋_GB2312"/>
                <w:color w:val="auto"/>
                <w:sz w:val="18"/>
                <w:szCs w:val="18"/>
                <w:highlight w:val="none"/>
                <w:shd w:val="clear" w:color="auto" w:fill="auto"/>
              </w:rPr>
            </w:pPr>
            <w:r>
              <w:rPr>
                <w:rFonts w:hint="eastAsia" w:ascii="仿宋_GB2312" w:hAnsi="仿宋_GB2312" w:eastAsia="仿宋_GB2312" w:cs="仿宋_GB2312"/>
                <w:color w:val="auto"/>
                <w:sz w:val="18"/>
                <w:szCs w:val="18"/>
                <w:highlight w:val="none"/>
                <w:shd w:val="clear" w:color="auto" w:fill="auto"/>
              </w:rPr>
              <w:t>0.15‰</w:t>
            </w:r>
          </w:p>
        </w:tc>
        <w:tc>
          <w:tcPr>
            <w:tcW w:w="396" w:type="pct"/>
            <w:tcBorders>
              <w:top w:val="nil"/>
              <w:left w:val="nil"/>
              <w:bottom w:val="single" w:color="auto" w:sz="8" w:space="0"/>
              <w:right w:val="single" w:color="auto" w:sz="8" w:space="0"/>
            </w:tcBorders>
            <w:shd w:val="clear" w:color="auto" w:fill="auto"/>
            <w:tcMar>
              <w:left w:w="108" w:type="dxa"/>
              <w:right w:w="108" w:type="dxa"/>
            </w:tcMar>
            <w:vAlign w:val="center"/>
          </w:tcPr>
          <w:p w14:paraId="0DF6C9B0">
            <w:pPr>
              <w:pStyle w:val="5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0" w:afterAutospacing="0" w:line="240" w:lineRule="auto"/>
              <w:ind w:left="0" w:right="0"/>
              <w:jc w:val="left"/>
              <w:rPr>
                <w:rFonts w:hint="eastAsia" w:ascii="仿宋_GB2312" w:hAnsi="仿宋_GB2312" w:eastAsia="仿宋_GB2312" w:cs="仿宋_GB2312"/>
                <w:color w:val="auto"/>
                <w:sz w:val="18"/>
                <w:szCs w:val="18"/>
                <w:highlight w:val="none"/>
                <w:shd w:val="clear" w:color="auto" w:fill="auto"/>
              </w:rPr>
            </w:pPr>
            <w:r>
              <w:rPr>
                <w:rFonts w:hint="eastAsia" w:ascii="仿宋_GB2312" w:hAnsi="仿宋_GB2312" w:eastAsia="仿宋_GB2312" w:cs="仿宋_GB2312"/>
                <w:color w:val="auto"/>
                <w:sz w:val="18"/>
                <w:szCs w:val="18"/>
                <w:highlight w:val="none"/>
                <w:shd w:val="clear" w:color="auto" w:fill="auto"/>
              </w:rPr>
              <w:t>0.1‰</w:t>
            </w:r>
          </w:p>
        </w:tc>
        <w:tc>
          <w:tcPr>
            <w:tcW w:w="398" w:type="pct"/>
            <w:tcBorders>
              <w:top w:val="nil"/>
              <w:left w:val="nil"/>
              <w:bottom w:val="single" w:color="auto" w:sz="8" w:space="0"/>
              <w:right w:val="single" w:color="auto" w:sz="8" w:space="0"/>
            </w:tcBorders>
            <w:shd w:val="clear" w:color="auto" w:fill="auto"/>
            <w:tcMar>
              <w:left w:w="108" w:type="dxa"/>
              <w:right w:w="108" w:type="dxa"/>
            </w:tcMar>
            <w:vAlign w:val="center"/>
          </w:tcPr>
          <w:p w14:paraId="09C5E446">
            <w:pPr>
              <w:pStyle w:val="5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0" w:afterAutospacing="0" w:line="240" w:lineRule="auto"/>
              <w:ind w:left="0" w:right="0"/>
              <w:jc w:val="left"/>
              <w:rPr>
                <w:rFonts w:hint="eastAsia" w:ascii="仿宋_GB2312" w:hAnsi="仿宋_GB2312" w:eastAsia="仿宋_GB2312" w:cs="仿宋_GB2312"/>
                <w:color w:val="auto"/>
                <w:sz w:val="18"/>
                <w:szCs w:val="18"/>
                <w:highlight w:val="none"/>
                <w:shd w:val="clear" w:color="auto" w:fill="auto"/>
              </w:rPr>
            </w:pPr>
            <w:r>
              <w:rPr>
                <w:rFonts w:hint="eastAsia" w:ascii="仿宋_GB2312" w:hAnsi="仿宋_GB2312" w:eastAsia="仿宋_GB2312" w:cs="仿宋_GB2312"/>
                <w:color w:val="auto"/>
                <w:sz w:val="18"/>
                <w:szCs w:val="18"/>
                <w:highlight w:val="none"/>
                <w:shd w:val="clear" w:color="auto" w:fill="auto"/>
              </w:rPr>
              <w:t>0.06‰</w:t>
            </w:r>
          </w:p>
        </w:tc>
        <w:tc>
          <w:tcPr>
            <w:tcW w:w="742" w:type="pct"/>
            <w:tcBorders>
              <w:top w:val="nil"/>
              <w:left w:val="nil"/>
              <w:bottom w:val="single" w:color="auto" w:sz="8" w:space="0"/>
              <w:right w:val="single" w:color="auto" w:sz="8" w:space="0"/>
            </w:tcBorders>
            <w:shd w:val="clear" w:color="auto" w:fill="auto"/>
            <w:tcMar>
              <w:left w:w="108" w:type="dxa"/>
              <w:right w:w="108" w:type="dxa"/>
            </w:tcMar>
            <w:vAlign w:val="center"/>
          </w:tcPr>
          <w:p w14:paraId="22B76AC3">
            <w:pPr>
              <w:pStyle w:val="5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0" w:afterAutospacing="0" w:line="240" w:lineRule="auto"/>
              <w:ind w:left="0" w:right="0"/>
              <w:jc w:val="left"/>
              <w:rPr>
                <w:rFonts w:hint="eastAsia" w:ascii="仿宋_GB2312" w:hAnsi="仿宋_GB2312" w:eastAsia="仿宋_GB2312" w:cs="仿宋_GB2312"/>
                <w:color w:val="auto"/>
                <w:sz w:val="18"/>
                <w:szCs w:val="18"/>
                <w:highlight w:val="none"/>
                <w:shd w:val="clear" w:color="auto" w:fill="auto"/>
              </w:rPr>
            </w:pPr>
            <w:r>
              <w:rPr>
                <w:rFonts w:hint="eastAsia" w:ascii="仿宋_GB2312" w:hAnsi="仿宋_GB2312" w:eastAsia="仿宋_GB2312" w:cs="仿宋_GB2312"/>
                <w:color w:val="auto"/>
                <w:sz w:val="18"/>
                <w:szCs w:val="18"/>
                <w:highlight w:val="none"/>
                <w:shd w:val="clear" w:color="auto" w:fill="auto"/>
              </w:rPr>
              <w:t>1、中期报表审计：对一季度、半年度、前三个季度的报表审计分别按年度报表审计收费标准的50%、70%、90%计收。2、财务报表审阅：按报表审计收费标准的50%计收。</w:t>
            </w:r>
          </w:p>
        </w:tc>
      </w:tr>
      <w:tr w14:paraId="44840BC7">
        <w:tblPrEx>
          <w:shd w:val="clear" w:color="auto" w:fill="auto"/>
          <w:tblCellMar>
            <w:top w:w="0" w:type="dxa"/>
            <w:left w:w="0" w:type="dxa"/>
            <w:bottom w:w="0" w:type="dxa"/>
            <w:right w:w="0" w:type="dxa"/>
          </w:tblCellMar>
        </w:tblPrEx>
        <w:trPr>
          <w:trHeight w:val="1239" w:hRule="atLeast"/>
        </w:trPr>
        <w:tc>
          <w:tcPr>
            <w:tcW w:w="395"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785AFE7">
            <w:pPr>
              <w:pStyle w:val="5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0" w:afterAutospacing="0" w:line="240" w:lineRule="auto"/>
              <w:ind w:left="0" w:right="0"/>
              <w:jc w:val="left"/>
              <w:rPr>
                <w:rFonts w:hint="eastAsia" w:ascii="仿宋_GB2312" w:hAnsi="仿宋_GB2312" w:eastAsia="仿宋_GB2312" w:cs="仿宋_GB2312"/>
                <w:color w:val="auto"/>
                <w:sz w:val="18"/>
                <w:szCs w:val="18"/>
                <w:highlight w:val="none"/>
                <w:shd w:val="clear" w:color="auto" w:fill="auto"/>
              </w:rPr>
            </w:pPr>
            <w:r>
              <w:rPr>
                <w:rFonts w:hint="eastAsia" w:ascii="仿宋_GB2312" w:hAnsi="仿宋_GB2312" w:eastAsia="仿宋_GB2312" w:cs="仿宋_GB2312"/>
                <w:color w:val="auto"/>
                <w:sz w:val="18"/>
                <w:szCs w:val="18"/>
                <w:highlight w:val="none"/>
                <w:shd w:val="clear" w:color="auto" w:fill="auto"/>
              </w:rPr>
              <w:t>资本验证（次）</w:t>
            </w:r>
          </w:p>
        </w:tc>
        <w:tc>
          <w:tcPr>
            <w:tcW w:w="417" w:type="pct"/>
            <w:tcBorders>
              <w:top w:val="nil"/>
              <w:left w:val="nil"/>
              <w:bottom w:val="single" w:color="auto" w:sz="8" w:space="0"/>
              <w:right w:val="single" w:color="auto" w:sz="8" w:space="0"/>
            </w:tcBorders>
            <w:shd w:val="clear" w:color="auto" w:fill="auto"/>
            <w:tcMar>
              <w:left w:w="108" w:type="dxa"/>
              <w:right w:w="108" w:type="dxa"/>
            </w:tcMar>
            <w:vAlign w:val="center"/>
          </w:tcPr>
          <w:p w14:paraId="037F04E4">
            <w:pPr>
              <w:pStyle w:val="5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0" w:afterAutospacing="0" w:line="240" w:lineRule="auto"/>
              <w:ind w:left="0" w:right="0"/>
              <w:jc w:val="left"/>
              <w:rPr>
                <w:rFonts w:hint="eastAsia" w:ascii="仿宋_GB2312" w:hAnsi="仿宋_GB2312" w:eastAsia="仿宋_GB2312" w:cs="仿宋_GB2312"/>
                <w:color w:val="auto"/>
                <w:sz w:val="18"/>
                <w:szCs w:val="18"/>
                <w:highlight w:val="none"/>
                <w:shd w:val="clear" w:color="auto" w:fill="auto"/>
              </w:rPr>
            </w:pPr>
            <w:r>
              <w:rPr>
                <w:rFonts w:hint="eastAsia" w:ascii="仿宋_GB2312" w:hAnsi="仿宋_GB2312" w:eastAsia="仿宋_GB2312" w:cs="仿宋_GB2312"/>
                <w:color w:val="auto"/>
                <w:sz w:val="18"/>
                <w:szCs w:val="18"/>
                <w:highlight w:val="none"/>
                <w:shd w:val="clear" w:color="auto" w:fill="auto"/>
              </w:rPr>
              <w:t>验资金额</w:t>
            </w:r>
          </w:p>
        </w:tc>
        <w:tc>
          <w:tcPr>
            <w:tcW w:w="423" w:type="pct"/>
            <w:tcBorders>
              <w:top w:val="nil"/>
              <w:left w:val="nil"/>
              <w:bottom w:val="single" w:color="auto" w:sz="8" w:space="0"/>
              <w:right w:val="single" w:color="auto" w:sz="8" w:space="0"/>
            </w:tcBorders>
            <w:shd w:val="clear" w:color="auto" w:fill="auto"/>
            <w:tcMar>
              <w:left w:w="108" w:type="dxa"/>
              <w:right w:w="108" w:type="dxa"/>
            </w:tcMar>
            <w:vAlign w:val="center"/>
          </w:tcPr>
          <w:p w14:paraId="1548BCC2">
            <w:pPr>
              <w:pStyle w:val="5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0" w:afterAutospacing="0" w:line="240" w:lineRule="auto"/>
              <w:ind w:left="0" w:right="0"/>
              <w:jc w:val="left"/>
              <w:rPr>
                <w:rFonts w:hint="eastAsia" w:ascii="仿宋_GB2312" w:hAnsi="仿宋_GB2312" w:eastAsia="仿宋_GB2312" w:cs="仿宋_GB2312"/>
                <w:color w:val="auto"/>
                <w:sz w:val="18"/>
                <w:szCs w:val="18"/>
                <w:highlight w:val="none"/>
                <w:shd w:val="clear" w:color="auto" w:fill="auto"/>
              </w:rPr>
            </w:pPr>
            <w:r>
              <w:rPr>
                <w:rFonts w:hint="eastAsia" w:ascii="仿宋_GB2312" w:hAnsi="仿宋_GB2312" w:eastAsia="仿宋_GB2312" w:cs="仿宋_GB2312"/>
                <w:color w:val="auto"/>
                <w:sz w:val="18"/>
                <w:szCs w:val="18"/>
                <w:highlight w:val="none"/>
                <w:shd w:val="clear" w:color="auto" w:fill="auto"/>
              </w:rPr>
              <w:t>3‰（低于1000元按1000元计收）</w:t>
            </w:r>
          </w:p>
        </w:tc>
        <w:tc>
          <w:tcPr>
            <w:tcW w:w="251" w:type="pct"/>
            <w:tcBorders>
              <w:top w:val="nil"/>
              <w:left w:val="nil"/>
              <w:bottom w:val="single" w:color="auto" w:sz="8" w:space="0"/>
              <w:right w:val="single" w:color="auto" w:sz="8" w:space="0"/>
            </w:tcBorders>
            <w:shd w:val="clear" w:color="auto" w:fill="auto"/>
            <w:tcMar>
              <w:left w:w="108" w:type="dxa"/>
              <w:right w:w="108" w:type="dxa"/>
            </w:tcMar>
            <w:vAlign w:val="center"/>
          </w:tcPr>
          <w:p w14:paraId="2893CC99">
            <w:pPr>
              <w:pStyle w:val="5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0" w:afterAutospacing="0" w:line="240" w:lineRule="auto"/>
              <w:ind w:left="0" w:right="0"/>
              <w:jc w:val="left"/>
              <w:rPr>
                <w:rFonts w:hint="eastAsia" w:ascii="仿宋_GB2312" w:hAnsi="仿宋_GB2312" w:eastAsia="仿宋_GB2312" w:cs="仿宋_GB2312"/>
                <w:color w:val="auto"/>
                <w:sz w:val="18"/>
                <w:szCs w:val="18"/>
                <w:highlight w:val="none"/>
                <w:shd w:val="clear" w:color="auto" w:fill="auto"/>
              </w:rPr>
            </w:pPr>
            <w:r>
              <w:rPr>
                <w:rFonts w:hint="eastAsia" w:ascii="仿宋_GB2312" w:hAnsi="仿宋_GB2312" w:eastAsia="仿宋_GB2312" w:cs="仿宋_GB2312"/>
                <w:color w:val="auto"/>
                <w:sz w:val="18"/>
                <w:szCs w:val="18"/>
                <w:highlight w:val="none"/>
                <w:shd w:val="clear" w:color="auto" w:fill="auto"/>
              </w:rPr>
              <w:t>1‰</w:t>
            </w:r>
          </w:p>
        </w:tc>
        <w:tc>
          <w:tcPr>
            <w:tcW w:w="395" w:type="pct"/>
            <w:tcBorders>
              <w:top w:val="nil"/>
              <w:left w:val="nil"/>
              <w:bottom w:val="single" w:color="auto" w:sz="8" w:space="0"/>
              <w:right w:val="single" w:color="auto" w:sz="8" w:space="0"/>
            </w:tcBorders>
            <w:shd w:val="clear" w:color="auto" w:fill="auto"/>
            <w:tcMar>
              <w:left w:w="108" w:type="dxa"/>
              <w:right w:w="108" w:type="dxa"/>
            </w:tcMar>
            <w:vAlign w:val="center"/>
          </w:tcPr>
          <w:p w14:paraId="107BC1FC">
            <w:pPr>
              <w:pStyle w:val="5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0" w:afterAutospacing="0" w:line="240" w:lineRule="auto"/>
              <w:ind w:left="0" w:right="0"/>
              <w:jc w:val="left"/>
              <w:rPr>
                <w:rFonts w:hint="eastAsia" w:ascii="仿宋_GB2312" w:hAnsi="仿宋_GB2312" w:eastAsia="仿宋_GB2312" w:cs="仿宋_GB2312"/>
                <w:color w:val="auto"/>
                <w:sz w:val="18"/>
                <w:szCs w:val="18"/>
                <w:highlight w:val="none"/>
                <w:shd w:val="clear" w:color="auto" w:fill="auto"/>
              </w:rPr>
            </w:pPr>
            <w:r>
              <w:rPr>
                <w:rFonts w:hint="eastAsia" w:ascii="仿宋_GB2312" w:hAnsi="仿宋_GB2312" w:eastAsia="仿宋_GB2312" w:cs="仿宋_GB2312"/>
                <w:color w:val="auto"/>
                <w:sz w:val="18"/>
                <w:szCs w:val="18"/>
                <w:highlight w:val="none"/>
                <w:shd w:val="clear" w:color="auto" w:fill="auto"/>
              </w:rPr>
              <w:t>0.5‰</w:t>
            </w:r>
          </w:p>
        </w:tc>
        <w:tc>
          <w:tcPr>
            <w:tcW w:w="395" w:type="pct"/>
            <w:tcBorders>
              <w:top w:val="nil"/>
              <w:left w:val="nil"/>
              <w:bottom w:val="single" w:color="auto" w:sz="8" w:space="0"/>
              <w:right w:val="single" w:color="auto" w:sz="8" w:space="0"/>
            </w:tcBorders>
            <w:shd w:val="clear" w:color="auto" w:fill="auto"/>
            <w:tcMar>
              <w:left w:w="108" w:type="dxa"/>
              <w:right w:w="108" w:type="dxa"/>
            </w:tcMar>
            <w:vAlign w:val="center"/>
          </w:tcPr>
          <w:p w14:paraId="16E84F2A">
            <w:pPr>
              <w:pStyle w:val="5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0" w:afterAutospacing="0" w:line="240" w:lineRule="auto"/>
              <w:ind w:left="0" w:right="0"/>
              <w:jc w:val="left"/>
              <w:rPr>
                <w:rFonts w:hint="eastAsia" w:ascii="仿宋_GB2312" w:hAnsi="仿宋_GB2312" w:eastAsia="仿宋_GB2312" w:cs="仿宋_GB2312"/>
                <w:color w:val="auto"/>
                <w:sz w:val="18"/>
                <w:szCs w:val="18"/>
                <w:highlight w:val="none"/>
                <w:shd w:val="clear" w:color="auto" w:fill="auto"/>
              </w:rPr>
            </w:pPr>
            <w:r>
              <w:rPr>
                <w:rFonts w:hint="eastAsia" w:ascii="仿宋_GB2312" w:hAnsi="仿宋_GB2312" w:eastAsia="仿宋_GB2312" w:cs="仿宋_GB2312"/>
                <w:color w:val="auto"/>
                <w:sz w:val="18"/>
                <w:szCs w:val="18"/>
                <w:highlight w:val="none"/>
                <w:shd w:val="clear" w:color="auto" w:fill="auto"/>
              </w:rPr>
              <w:t>0.3‰</w:t>
            </w:r>
          </w:p>
        </w:tc>
        <w:tc>
          <w:tcPr>
            <w:tcW w:w="395" w:type="pct"/>
            <w:tcBorders>
              <w:top w:val="nil"/>
              <w:left w:val="nil"/>
              <w:bottom w:val="single" w:color="auto" w:sz="8" w:space="0"/>
              <w:right w:val="single" w:color="auto" w:sz="8" w:space="0"/>
            </w:tcBorders>
            <w:shd w:val="clear" w:color="auto" w:fill="auto"/>
            <w:tcMar>
              <w:left w:w="108" w:type="dxa"/>
              <w:right w:w="108" w:type="dxa"/>
            </w:tcMar>
            <w:vAlign w:val="center"/>
          </w:tcPr>
          <w:p w14:paraId="5B358A86">
            <w:pPr>
              <w:pStyle w:val="5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0" w:afterAutospacing="0" w:line="240" w:lineRule="auto"/>
              <w:ind w:left="0" w:right="0"/>
              <w:jc w:val="left"/>
              <w:rPr>
                <w:rFonts w:hint="eastAsia" w:ascii="仿宋_GB2312" w:hAnsi="仿宋_GB2312" w:eastAsia="仿宋_GB2312" w:cs="仿宋_GB2312"/>
                <w:color w:val="auto"/>
                <w:sz w:val="18"/>
                <w:szCs w:val="18"/>
                <w:highlight w:val="none"/>
                <w:shd w:val="clear" w:color="auto" w:fill="auto"/>
              </w:rPr>
            </w:pPr>
            <w:r>
              <w:rPr>
                <w:rFonts w:hint="eastAsia" w:ascii="仿宋_GB2312" w:hAnsi="仿宋_GB2312" w:eastAsia="仿宋_GB2312" w:cs="仿宋_GB2312"/>
                <w:color w:val="auto"/>
                <w:sz w:val="18"/>
                <w:szCs w:val="18"/>
                <w:highlight w:val="none"/>
                <w:shd w:val="clear" w:color="auto" w:fill="auto"/>
              </w:rPr>
              <w:t>0.25‰</w:t>
            </w:r>
          </w:p>
        </w:tc>
        <w:tc>
          <w:tcPr>
            <w:tcW w:w="395" w:type="pct"/>
            <w:tcBorders>
              <w:top w:val="nil"/>
              <w:left w:val="nil"/>
              <w:bottom w:val="single" w:color="auto" w:sz="8" w:space="0"/>
              <w:right w:val="single" w:color="auto" w:sz="8" w:space="0"/>
            </w:tcBorders>
            <w:shd w:val="clear" w:color="auto" w:fill="auto"/>
            <w:tcMar>
              <w:left w:w="108" w:type="dxa"/>
              <w:right w:w="108" w:type="dxa"/>
            </w:tcMar>
            <w:vAlign w:val="center"/>
          </w:tcPr>
          <w:p w14:paraId="1614410C">
            <w:pPr>
              <w:pStyle w:val="5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0" w:afterAutospacing="0" w:line="240" w:lineRule="auto"/>
              <w:ind w:left="0" w:right="0"/>
              <w:jc w:val="left"/>
              <w:rPr>
                <w:rFonts w:hint="eastAsia" w:ascii="仿宋_GB2312" w:hAnsi="仿宋_GB2312" w:eastAsia="仿宋_GB2312" w:cs="仿宋_GB2312"/>
                <w:color w:val="auto"/>
                <w:sz w:val="18"/>
                <w:szCs w:val="18"/>
                <w:highlight w:val="none"/>
                <w:shd w:val="clear" w:color="auto" w:fill="auto"/>
              </w:rPr>
            </w:pPr>
            <w:r>
              <w:rPr>
                <w:rFonts w:hint="eastAsia" w:ascii="仿宋_GB2312" w:hAnsi="仿宋_GB2312" w:eastAsia="仿宋_GB2312" w:cs="仿宋_GB2312"/>
                <w:color w:val="auto"/>
                <w:sz w:val="18"/>
                <w:szCs w:val="18"/>
                <w:highlight w:val="none"/>
                <w:shd w:val="clear" w:color="auto" w:fill="auto"/>
              </w:rPr>
              <w:t>0.15‰</w:t>
            </w:r>
          </w:p>
        </w:tc>
        <w:tc>
          <w:tcPr>
            <w:tcW w:w="395" w:type="pct"/>
            <w:tcBorders>
              <w:top w:val="nil"/>
              <w:left w:val="nil"/>
              <w:bottom w:val="single" w:color="auto" w:sz="8" w:space="0"/>
              <w:right w:val="single" w:color="auto" w:sz="8" w:space="0"/>
            </w:tcBorders>
            <w:shd w:val="clear" w:color="auto" w:fill="auto"/>
            <w:tcMar>
              <w:left w:w="108" w:type="dxa"/>
              <w:right w:w="108" w:type="dxa"/>
            </w:tcMar>
            <w:vAlign w:val="center"/>
          </w:tcPr>
          <w:p w14:paraId="0984EF91">
            <w:pPr>
              <w:pStyle w:val="5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0" w:afterAutospacing="0" w:line="240" w:lineRule="auto"/>
              <w:ind w:left="0" w:right="0"/>
              <w:jc w:val="left"/>
              <w:rPr>
                <w:rFonts w:hint="eastAsia" w:ascii="仿宋_GB2312" w:hAnsi="仿宋_GB2312" w:eastAsia="仿宋_GB2312" w:cs="仿宋_GB2312"/>
                <w:color w:val="auto"/>
                <w:sz w:val="18"/>
                <w:szCs w:val="18"/>
                <w:highlight w:val="none"/>
                <w:shd w:val="clear" w:color="auto" w:fill="auto"/>
              </w:rPr>
            </w:pPr>
            <w:r>
              <w:rPr>
                <w:rFonts w:hint="eastAsia" w:ascii="仿宋_GB2312" w:hAnsi="仿宋_GB2312" w:eastAsia="仿宋_GB2312" w:cs="仿宋_GB2312"/>
                <w:color w:val="auto"/>
                <w:sz w:val="18"/>
                <w:szCs w:val="18"/>
                <w:highlight w:val="none"/>
                <w:shd w:val="clear" w:color="auto" w:fill="auto"/>
              </w:rPr>
              <w:t>0.1‰</w:t>
            </w:r>
          </w:p>
        </w:tc>
        <w:tc>
          <w:tcPr>
            <w:tcW w:w="396" w:type="pct"/>
            <w:tcBorders>
              <w:top w:val="nil"/>
              <w:left w:val="nil"/>
              <w:bottom w:val="single" w:color="auto" w:sz="8" w:space="0"/>
              <w:right w:val="single" w:color="auto" w:sz="8" w:space="0"/>
            </w:tcBorders>
            <w:shd w:val="clear" w:color="auto" w:fill="auto"/>
            <w:tcMar>
              <w:left w:w="108" w:type="dxa"/>
              <w:right w:w="108" w:type="dxa"/>
            </w:tcMar>
            <w:vAlign w:val="center"/>
          </w:tcPr>
          <w:p w14:paraId="65448D40">
            <w:pPr>
              <w:pStyle w:val="5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0" w:afterAutospacing="0" w:line="240" w:lineRule="auto"/>
              <w:ind w:left="0" w:right="0"/>
              <w:jc w:val="left"/>
              <w:rPr>
                <w:rFonts w:hint="eastAsia" w:ascii="仿宋_GB2312" w:hAnsi="仿宋_GB2312" w:eastAsia="仿宋_GB2312" w:cs="仿宋_GB2312"/>
                <w:color w:val="auto"/>
                <w:sz w:val="18"/>
                <w:szCs w:val="18"/>
                <w:highlight w:val="none"/>
                <w:shd w:val="clear" w:color="auto" w:fill="auto"/>
              </w:rPr>
            </w:pPr>
            <w:r>
              <w:rPr>
                <w:rFonts w:hint="eastAsia" w:ascii="仿宋_GB2312" w:hAnsi="仿宋_GB2312" w:eastAsia="仿宋_GB2312" w:cs="仿宋_GB2312"/>
                <w:color w:val="auto"/>
                <w:sz w:val="18"/>
                <w:szCs w:val="18"/>
                <w:highlight w:val="none"/>
                <w:shd w:val="clear" w:color="auto" w:fill="auto"/>
              </w:rPr>
              <w:t>0.06‰</w:t>
            </w:r>
          </w:p>
        </w:tc>
        <w:tc>
          <w:tcPr>
            <w:tcW w:w="398" w:type="pct"/>
            <w:tcBorders>
              <w:top w:val="nil"/>
              <w:left w:val="nil"/>
              <w:bottom w:val="single" w:color="auto" w:sz="8" w:space="0"/>
              <w:right w:val="single" w:color="auto" w:sz="8" w:space="0"/>
            </w:tcBorders>
            <w:shd w:val="clear" w:color="auto" w:fill="auto"/>
            <w:tcMar>
              <w:left w:w="108" w:type="dxa"/>
              <w:right w:w="108" w:type="dxa"/>
            </w:tcMar>
            <w:vAlign w:val="center"/>
          </w:tcPr>
          <w:p w14:paraId="4E646321">
            <w:pPr>
              <w:pStyle w:val="5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0" w:afterAutospacing="0" w:line="240" w:lineRule="auto"/>
              <w:ind w:left="0" w:right="0"/>
              <w:jc w:val="left"/>
              <w:rPr>
                <w:rFonts w:hint="eastAsia" w:ascii="仿宋_GB2312" w:hAnsi="仿宋_GB2312" w:eastAsia="仿宋_GB2312" w:cs="仿宋_GB2312"/>
                <w:color w:val="auto"/>
                <w:sz w:val="18"/>
                <w:szCs w:val="18"/>
                <w:highlight w:val="none"/>
                <w:shd w:val="clear" w:color="auto" w:fill="auto"/>
              </w:rPr>
            </w:pPr>
            <w:r>
              <w:rPr>
                <w:rFonts w:hint="eastAsia" w:ascii="仿宋_GB2312" w:hAnsi="仿宋_GB2312" w:eastAsia="仿宋_GB2312" w:cs="仿宋_GB2312"/>
                <w:color w:val="auto"/>
                <w:sz w:val="18"/>
                <w:szCs w:val="18"/>
                <w:highlight w:val="none"/>
                <w:shd w:val="clear" w:color="auto" w:fill="auto"/>
              </w:rPr>
              <w:t>0.03‰</w:t>
            </w:r>
          </w:p>
        </w:tc>
        <w:tc>
          <w:tcPr>
            <w:tcW w:w="742" w:type="pct"/>
            <w:tcBorders>
              <w:top w:val="nil"/>
              <w:left w:val="nil"/>
              <w:bottom w:val="single" w:color="auto" w:sz="8" w:space="0"/>
              <w:right w:val="single" w:color="auto" w:sz="8" w:space="0"/>
            </w:tcBorders>
            <w:shd w:val="clear" w:color="auto" w:fill="auto"/>
            <w:tcMar>
              <w:left w:w="108" w:type="dxa"/>
              <w:right w:w="108" w:type="dxa"/>
            </w:tcMar>
            <w:vAlign w:val="center"/>
          </w:tcPr>
          <w:p w14:paraId="74AEE0E2">
            <w:pPr>
              <w:pStyle w:val="5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0" w:afterAutospacing="0" w:line="240" w:lineRule="auto"/>
              <w:ind w:left="0" w:right="0"/>
              <w:jc w:val="left"/>
              <w:rPr>
                <w:rFonts w:hint="eastAsia" w:ascii="仿宋_GB2312" w:hAnsi="仿宋_GB2312" w:eastAsia="仿宋_GB2312" w:cs="仿宋_GB2312"/>
                <w:color w:val="auto"/>
                <w:sz w:val="18"/>
                <w:szCs w:val="18"/>
                <w:highlight w:val="none"/>
                <w:shd w:val="clear" w:color="auto" w:fill="auto"/>
              </w:rPr>
            </w:pPr>
            <w:r>
              <w:rPr>
                <w:rFonts w:hint="eastAsia" w:ascii="仿宋_GB2312" w:hAnsi="仿宋_GB2312" w:eastAsia="仿宋_GB2312" w:cs="仿宋_GB2312"/>
                <w:color w:val="auto"/>
                <w:sz w:val="18"/>
                <w:szCs w:val="18"/>
                <w:highlight w:val="none"/>
                <w:shd w:val="clear" w:color="auto" w:fill="auto"/>
              </w:rPr>
              <w:t>涉及财务报表审计的，按年报审计收费标准计收。</w:t>
            </w:r>
          </w:p>
        </w:tc>
      </w:tr>
      <w:tr w14:paraId="3AF5E140">
        <w:tblPrEx>
          <w:tblCellMar>
            <w:top w:w="0" w:type="dxa"/>
            <w:left w:w="0" w:type="dxa"/>
            <w:bottom w:w="0" w:type="dxa"/>
            <w:right w:w="0" w:type="dxa"/>
          </w:tblCellMar>
        </w:tblPrEx>
        <w:trPr>
          <w:trHeight w:val="990" w:hRule="atLeast"/>
        </w:trPr>
        <w:tc>
          <w:tcPr>
            <w:tcW w:w="395"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607B995">
            <w:pPr>
              <w:pStyle w:val="5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0" w:afterAutospacing="0" w:line="240" w:lineRule="auto"/>
              <w:ind w:left="0" w:right="0"/>
              <w:jc w:val="left"/>
              <w:rPr>
                <w:rFonts w:hint="eastAsia" w:ascii="仿宋_GB2312" w:hAnsi="仿宋_GB2312" w:eastAsia="仿宋_GB2312" w:cs="仿宋_GB2312"/>
                <w:color w:val="auto"/>
                <w:sz w:val="18"/>
                <w:szCs w:val="18"/>
                <w:highlight w:val="none"/>
                <w:shd w:val="clear" w:color="auto" w:fill="auto"/>
              </w:rPr>
            </w:pPr>
            <w:r>
              <w:rPr>
                <w:rFonts w:hint="eastAsia" w:ascii="仿宋_GB2312" w:hAnsi="仿宋_GB2312" w:eastAsia="仿宋_GB2312" w:cs="仿宋_GB2312"/>
                <w:color w:val="auto"/>
                <w:sz w:val="18"/>
                <w:szCs w:val="18"/>
                <w:highlight w:val="none"/>
                <w:shd w:val="clear" w:color="auto" w:fill="auto"/>
              </w:rPr>
              <w:t>合并、分立、清算审计</w:t>
            </w:r>
          </w:p>
        </w:tc>
        <w:tc>
          <w:tcPr>
            <w:tcW w:w="417" w:type="pct"/>
            <w:tcBorders>
              <w:top w:val="nil"/>
              <w:left w:val="nil"/>
              <w:bottom w:val="single" w:color="auto" w:sz="8" w:space="0"/>
              <w:right w:val="single" w:color="auto" w:sz="8" w:space="0"/>
            </w:tcBorders>
            <w:shd w:val="clear" w:color="auto" w:fill="auto"/>
            <w:tcMar>
              <w:left w:w="108" w:type="dxa"/>
              <w:right w:w="108" w:type="dxa"/>
            </w:tcMar>
            <w:vAlign w:val="center"/>
          </w:tcPr>
          <w:p w14:paraId="28569F29">
            <w:pPr>
              <w:pStyle w:val="5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0" w:afterAutospacing="0" w:line="240" w:lineRule="auto"/>
              <w:ind w:left="0" w:right="0"/>
              <w:jc w:val="left"/>
              <w:rPr>
                <w:rFonts w:hint="eastAsia" w:ascii="仿宋_GB2312" w:hAnsi="仿宋_GB2312" w:eastAsia="仿宋_GB2312" w:cs="仿宋_GB2312"/>
                <w:color w:val="auto"/>
                <w:sz w:val="18"/>
                <w:szCs w:val="18"/>
                <w:highlight w:val="none"/>
                <w:shd w:val="clear" w:color="auto" w:fill="auto"/>
              </w:rPr>
            </w:pPr>
            <w:r>
              <w:rPr>
                <w:rFonts w:hint="eastAsia" w:ascii="仿宋_GB2312" w:hAnsi="仿宋_GB2312" w:eastAsia="仿宋_GB2312" w:cs="仿宋_GB2312"/>
                <w:color w:val="auto"/>
                <w:sz w:val="18"/>
                <w:szCs w:val="18"/>
                <w:highlight w:val="none"/>
                <w:shd w:val="clear" w:color="auto" w:fill="auto"/>
              </w:rPr>
              <w:t>资产总额、营业收入</w:t>
            </w:r>
          </w:p>
        </w:tc>
        <w:tc>
          <w:tcPr>
            <w:tcW w:w="3445" w:type="pct"/>
            <w:gridSpan w:val="9"/>
            <w:tcBorders>
              <w:top w:val="nil"/>
              <w:left w:val="nil"/>
              <w:bottom w:val="single" w:color="auto" w:sz="8" w:space="0"/>
              <w:right w:val="single" w:color="auto" w:sz="8" w:space="0"/>
            </w:tcBorders>
            <w:shd w:val="clear" w:color="auto" w:fill="auto"/>
            <w:tcMar>
              <w:left w:w="108" w:type="dxa"/>
              <w:right w:w="108" w:type="dxa"/>
            </w:tcMar>
            <w:vAlign w:val="center"/>
          </w:tcPr>
          <w:p w14:paraId="1D7443F8">
            <w:pPr>
              <w:pStyle w:val="5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0" w:afterAutospacing="0" w:line="240" w:lineRule="auto"/>
              <w:ind w:left="0" w:right="0"/>
              <w:jc w:val="center"/>
              <w:rPr>
                <w:rFonts w:hint="eastAsia" w:ascii="仿宋_GB2312" w:hAnsi="仿宋_GB2312" w:eastAsia="仿宋_GB2312" w:cs="仿宋_GB2312"/>
                <w:color w:val="auto"/>
                <w:sz w:val="18"/>
                <w:szCs w:val="18"/>
                <w:highlight w:val="none"/>
                <w:shd w:val="clear" w:color="auto" w:fill="auto"/>
              </w:rPr>
            </w:pPr>
            <w:r>
              <w:rPr>
                <w:rFonts w:hint="eastAsia" w:ascii="仿宋_GB2312" w:hAnsi="仿宋_GB2312" w:eastAsia="仿宋_GB2312" w:cs="仿宋_GB2312"/>
                <w:color w:val="auto"/>
                <w:sz w:val="18"/>
                <w:szCs w:val="18"/>
                <w:highlight w:val="none"/>
                <w:shd w:val="clear" w:color="auto" w:fill="auto"/>
              </w:rPr>
              <w:t>按财务报表审计收费标准的150%计收；超过三年以上的年度收费比照报表审计收费标准执行。</w:t>
            </w:r>
          </w:p>
        </w:tc>
        <w:tc>
          <w:tcPr>
            <w:tcW w:w="742" w:type="pct"/>
            <w:tcBorders>
              <w:top w:val="nil"/>
              <w:left w:val="nil"/>
              <w:bottom w:val="single" w:color="auto" w:sz="8" w:space="0"/>
              <w:right w:val="single" w:color="auto" w:sz="8" w:space="0"/>
            </w:tcBorders>
            <w:shd w:val="clear" w:color="auto" w:fill="auto"/>
            <w:tcMar>
              <w:left w:w="108" w:type="dxa"/>
              <w:right w:w="108" w:type="dxa"/>
            </w:tcMar>
            <w:vAlign w:val="center"/>
          </w:tcPr>
          <w:p w14:paraId="711C0516">
            <w:pPr>
              <w:pStyle w:val="5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0" w:afterAutospacing="0" w:line="240" w:lineRule="auto"/>
              <w:ind w:left="0" w:right="0"/>
              <w:jc w:val="left"/>
              <w:rPr>
                <w:rFonts w:hint="eastAsia" w:ascii="仿宋_GB2312" w:hAnsi="仿宋_GB2312" w:eastAsia="仿宋_GB2312" w:cs="仿宋_GB2312"/>
                <w:color w:val="auto"/>
                <w:sz w:val="18"/>
                <w:szCs w:val="18"/>
                <w:highlight w:val="none"/>
                <w:shd w:val="clear" w:color="auto" w:fill="auto"/>
              </w:rPr>
            </w:pPr>
            <w:r>
              <w:rPr>
                <w:rFonts w:hint="eastAsia" w:ascii="仿宋_GB2312" w:hAnsi="仿宋_GB2312" w:eastAsia="仿宋_GB2312" w:cs="仿宋_GB2312"/>
                <w:color w:val="auto"/>
                <w:sz w:val="18"/>
                <w:szCs w:val="18"/>
                <w:highlight w:val="none"/>
                <w:shd w:val="clear" w:color="auto" w:fill="auto"/>
              </w:rPr>
              <w:t>　</w:t>
            </w:r>
          </w:p>
        </w:tc>
      </w:tr>
      <w:tr w14:paraId="2E9B68CE">
        <w:tblPrEx>
          <w:shd w:val="clear" w:color="auto" w:fill="auto"/>
          <w:tblCellMar>
            <w:top w:w="0" w:type="dxa"/>
            <w:left w:w="0" w:type="dxa"/>
            <w:bottom w:w="0" w:type="dxa"/>
            <w:right w:w="0" w:type="dxa"/>
          </w:tblCellMar>
        </w:tblPrEx>
        <w:trPr>
          <w:trHeight w:val="1980" w:hRule="atLeast"/>
        </w:trPr>
        <w:tc>
          <w:tcPr>
            <w:tcW w:w="395"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051C0F6">
            <w:pPr>
              <w:pStyle w:val="5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0" w:afterAutospacing="0" w:line="240" w:lineRule="auto"/>
              <w:ind w:left="0" w:right="0"/>
              <w:jc w:val="left"/>
              <w:rPr>
                <w:rFonts w:hint="eastAsia" w:ascii="仿宋_GB2312" w:hAnsi="仿宋_GB2312" w:eastAsia="仿宋_GB2312" w:cs="仿宋_GB2312"/>
                <w:color w:val="auto"/>
                <w:sz w:val="18"/>
                <w:szCs w:val="18"/>
                <w:highlight w:val="none"/>
                <w:shd w:val="clear" w:color="auto" w:fill="auto"/>
              </w:rPr>
            </w:pPr>
            <w:r>
              <w:rPr>
                <w:rFonts w:hint="eastAsia" w:ascii="仿宋_GB2312" w:hAnsi="仿宋_GB2312" w:eastAsia="仿宋_GB2312" w:cs="仿宋_GB2312"/>
                <w:color w:val="auto"/>
                <w:sz w:val="18"/>
                <w:szCs w:val="18"/>
                <w:highlight w:val="none"/>
                <w:shd w:val="clear" w:color="auto" w:fill="auto"/>
              </w:rPr>
              <w:t>法律、行政法规规定的其他审计业务</w:t>
            </w:r>
          </w:p>
        </w:tc>
        <w:tc>
          <w:tcPr>
            <w:tcW w:w="417" w:type="pct"/>
            <w:tcBorders>
              <w:top w:val="nil"/>
              <w:left w:val="nil"/>
              <w:bottom w:val="single" w:color="auto" w:sz="8" w:space="0"/>
              <w:right w:val="single" w:color="auto" w:sz="8" w:space="0"/>
            </w:tcBorders>
            <w:shd w:val="clear" w:color="auto" w:fill="auto"/>
            <w:tcMar>
              <w:left w:w="108" w:type="dxa"/>
              <w:right w:w="108" w:type="dxa"/>
            </w:tcMar>
            <w:vAlign w:val="center"/>
          </w:tcPr>
          <w:p w14:paraId="2D6980B8">
            <w:pPr>
              <w:pStyle w:val="5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0" w:afterAutospacing="0" w:line="240" w:lineRule="auto"/>
              <w:ind w:left="0" w:right="0"/>
              <w:jc w:val="left"/>
              <w:rPr>
                <w:rFonts w:hint="eastAsia" w:ascii="仿宋_GB2312" w:hAnsi="仿宋_GB2312" w:eastAsia="仿宋_GB2312" w:cs="仿宋_GB2312"/>
                <w:color w:val="auto"/>
                <w:sz w:val="18"/>
                <w:szCs w:val="18"/>
                <w:highlight w:val="none"/>
                <w:shd w:val="clear" w:color="auto" w:fill="auto"/>
              </w:rPr>
            </w:pPr>
            <w:r>
              <w:rPr>
                <w:rFonts w:hint="eastAsia" w:ascii="仿宋_GB2312" w:hAnsi="仿宋_GB2312" w:eastAsia="仿宋_GB2312" w:cs="仿宋_GB2312"/>
                <w:color w:val="auto"/>
                <w:sz w:val="18"/>
                <w:szCs w:val="18"/>
                <w:highlight w:val="none"/>
                <w:shd w:val="clear" w:color="auto" w:fill="auto"/>
              </w:rPr>
              <w:t>资产总额、营业收入或项目鉴证金额</w:t>
            </w:r>
          </w:p>
        </w:tc>
        <w:tc>
          <w:tcPr>
            <w:tcW w:w="3445" w:type="pct"/>
            <w:gridSpan w:val="9"/>
            <w:tcBorders>
              <w:top w:val="nil"/>
              <w:left w:val="nil"/>
              <w:bottom w:val="single" w:color="auto" w:sz="8" w:space="0"/>
              <w:right w:val="single" w:color="auto" w:sz="8" w:space="0"/>
            </w:tcBorders>
            <w:shd w:val="clear" w:color="auto" w:fill="auto"/>
            <w:tcMar>
              <w:left w:w="108" w:type="dxa"/>
              <w:right w:w="108" w:type="dxa"/>
            </w:tcMar>
            <w:vAlign w:val="center"/>
          </w:tcPr>
          <w:p w14:paraId="7B8F8A3D">
            <w:pPr>
              <w:pStyle w:val="5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0" w:afterAutospacing="0" w:line="240" w:lineRule="auto"/>
              <w:ind w:left="0" w:right="0"/>
              <w:rPr>
                <w:rFonts w:hint="eastAsia" w:ascii="仿宋_GB2312" w:hAnsi="仿宋_GB2312" w:eastAsia="仿宋_GB2312" w:cs="仿宋_GB2312"/>
                <w:color w:val="auto"/>
                <w:sz w:val="18"/>
                <w:szCs w:val="18"/>
                <w:highlight w:val="none"/>
                <w:shd w:val="clear" w:color="auto" w:fill="auto"/>
              </w:rPr>
            </w:pPr>
            <w:r>
              <w:rPr>
                <w:rFonts w:hint="eastAsia" w:ascii="仿宋_GB2312" w:hAnsi="仿宋_GB2312" w:eastAsia="仿宋_GB2312" w:cs="仿宋_GB2312"/>
                <w:color w:val="auto"/>
                <w:sz w:val="18"/>
                <w:szCs w:val="18"/>
                <w:highlight w:val="none"/>
                <w:shd w:val="clear" w:color="auto" w:fill="auto"/>
              </w:rPr>
              <w:t>此类业务一般按照财务报表审计收费标准的120%计收，其中：经济责任审计、改制审计、财务收支审计业务，按财务报表审计收费标准的150%计收；涉及经济案件审计、基本建设工程决算审核业务，按财务报表审计收费标准的200%计收。对于超过三年以上的年度，收费比照报表审计收费标准执行。</w:t>
            </w:r>
          </w:p>
        </w:tc>
        <w:tc>
          <w:tcPr>
            <w:tcW w:w="742" w:type="pct"/>
            <w:tcBorders>
              <w:top w:val="nil"/>
              <w:left w:val="nil"/>
              <w:bottom w:val="single" w:color="auto" w:sz="8" w:space="0"/>
              <w:right w:val="single" w:color="auto" w:sz="8" w:space="0"/>
            </w:tcBorders>
            <w:shd w:val="clear" w:color="auto" w:fill="auto"/>
            <w:tcMar>
              <w:left w:w="108" w:type="dxa"/>
              <w:right w:w="108" w:type="dxa"/>
            </w:tcMar>
            <w:vAlign w:val="center"/>
          </w:tcPr>
          <w:p w14:paraId="03D44092">
            <w:pPr>
              <w:pStyle w:val="5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0" w:afterAutospacing="0" w:line="240" w:lineRule="auto"/>
              <w:ind w:left="0" w:right="0"/>
              <w:jc w:val="left"/>
              <w:rPr>
                <w:rFonts w:hint="eastAsia" w:ascii="仿宋_GB2312" w:hAnsi="仿宋_GB2312" w:eastAsia="仿宋_GB2312" w:cs="仿宋_GB2312"/>
                <w:color w:val="auto"/>
                <w:sz w:val="18"/>
                <w:szCs w:val="18"/>
                <w:highlight w:val="none"/>
                <w:shd w:val="clear" w:color="auto" w:fill="auto"/>
              </w:rPr>
            </w:pPr>
            <w:r>
              <w:rPr>
                <w:rFonts w:hint="eastAsia" w:ascii="仿宋_GB2312" w:hAnsi="仿宋_GB2312" w:eastAsia="仿宋_GB2312" w:cs="仿宋_GB2312"/>
                <w:color w:val="auto"/>
                <w:sz w:val="18"/>
                <w:szCs w:val="18"/>
                <w:highlight w:val="none"/>
                <w:shd w:val="clear" w:color="auto" w:fill="auto"/>
              </w:rPr>
              <w:t>具体项目参见《注册会计师业务指导目录》</w:t>
            </w:r>
          </w:p>
        </w:tc>
      </w:tr>
    </w:tbl>
    <w:p w14:paraId="09D4E930">
      <w:pPr>
        <w:pStyle w:val="5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0" w:afterAutospacing="0" w:line="360" w:lineRule="auto"/>
        <w:ind w:left="0" w:right="0" w:firstLine="420"/>
        <w:jc w:val="left"/>
        <w:rPr>
          <w:rFonts w:hint="eastAsia" w:ascii="仿宋" w:hAnsi="仿宋" w:eastAsia="仿宋" w:cs="仿宋"/>
          <w:color w:val="auto"/>
          <w:sz w:val="18"/>
          <w:szCs w:val="18"/>
          <w:highlight w:val="none"/>
          <w:shd w:val="clear" w:color="auto" w:fill="auto"/>
        </w:rPr>
      </w:pPr>
      <w:r>
        <w:rPr>
          <w:rFonts w:hint="eastAsia" w:ascii="微软雅黑" w:hAnsi="微软雅黑" w:eastAsia="微软雅黑" w:cs="微软雅黑"/>
          <w:b w:val="0"/>
          <w:i w:val="0"/>
          <w:caps w:val="0"/>
          <w:color w:val="auto"/>
          <w:spacing w:val="0"/>
          <w:sz w:val="18"/>
          <w:szCs w:val="18"/>
          <w:highlight w:val="none"/>
          <w:shd w:val="clear" w:color="auto" w:fill="auto"/>
        </w:rPr>
        <w:t>说明：</w:t>
      </w:r>
    </w:p>
    <w:p w14:paraId="768FECEA">
      <w:pPr>
        <w:pStyle w:val="5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0" w:afterAutospacing="0" w:line="360" w:lineRule="auto"/>
        <w:ind w:left="0" w:right="0" w:firstLine="420"/>
        <w:jc w:val="left"/>
        <w:rPr>
          <w:rFonts w:hint="eastAsia" w:ascii="仿宋" w:hAnsi="仿宋" w:eastAsia="仿宋" w:cs="仿宋"/>
          <w:color w:val="auto"/>
          <w:sz w:val="18"/>
          <w:szCs w:val="18"/>
          <w:highlight w:val="none"/>
          <w:shd w:val="clear" w:color="auto" w:fill="auto"/>
        </w:rPr>
      </w:pPr>
      <w:r>
        <w:rPr>
          <w:rFonts w:hint="eastAsia" w:ascii="微软雅黑" w:hAnsi="微软雅黑" w:eastAsia="微软雅黑" w:cs="微软雅黑"/>
          <w:b w:val="0"/>
          <w:i w:val="0"/>
          <w:caps w:val="0"/>
          <w:color w:val="auto"/>
          <w:spacing w:val="0"/>
          <w:sz w:val="18"/>
          <w:szCs w:val="18"/>
          <w:highlight w:val="none"/>
          <w:shd w:val="clear" w:color="auto" w:fill="auto"/>
        </w:rPr>
        <w:t>1.会计师事务所服务计件收费标准依照差额定率累进计费。例如：某企业报表审计，其资产总额3000万元，收费金额计算如下：计费基数为3000万元，收费金额为100万元×5‰+（500-100）万元×1.5‰+（1000-500）万元×0.8‰+（3000-1000）万元×0.4‰=2.3万元； </w:t>
      </w:r>
    </w:p>
    <w:p w14:paraId="434E9647">
      <w:pPr>
        <w:rPr>
          <w:rFonts w:hint="eastAsia" w:ascii="仿宋" w:hAnsi="仿宋" w:eastAsia="仿宋" w:cs="仿宋"/>
          <w:sz w:val="32"/>
          <w:highlight w:val="none"/>
        </w:rPr>
      </w:pPr>
      <w:r>
        <w:rPr>
          <w:rFonts w:hint="eastAsia" w:ascii="仿宋" w:hAnsi="仿宋" w:eastAsia="仿宋" w:cs="仿宋"/>
          <w:sz w:val="32"/>
          <w:highlight w:val="none"/>
        </w:rPr>
        <w:br w:type="page"/>
      </w:r>
    </w:p>
    <w:p w14:paraId="0D3EAFBD">
      <w:pPr>
        <w:pStyle w:val="3"/>
        <w:ind w:left="0" w:leftChars="0" w:firstLine="0" w:firstLineChars="0"/>
        <w:jc w:val="center"/>
        <w:rPr>
          <w:rFonts w:ascii="仿宋" w:hAnsi="仿宋" w:eastAsia="仿宋" w:cs="仿宋"/>
          <w:sz w:val="32"/>
          <w:highlight w:val="none"/>
        </w:rPr>
      </w:pPr>
      <w:r>
        <w:rPr>
          <w:rFonts w:hint="eastAsia" w:ascii="仿宋" w:hAnsi="仿宋" w:eastAsia="仿宋" w:cs="仿宋"/>
          <w:sz w:val="32"/>
          <w:highlight w:val="none"/>
        </w:rPr>
        <w:t>二、总则</w:t>
      </w:r>
      <w:bookmarkEnd w:id="10"/>
    </w:p>
    <w:p w14:paraId="7B0C93A8">
      <w:pPr>
        <w:spacing w:line="360" w:lineRule="auto"/>
        <w:ind w:firstLine="482" w:firstLineChars="200"/>
        <w:rPr>
          <w:rFonts w:ascii="仿宋" w:hAnsi="仿宋" w:eastAsia="仿宋" w:cs="仿宋"/>
          <w:b/>
          <w:sz w:val="24"/>
          <w:szCs w:val="24"/>
          <w:highlight w:val="none"/>
        </w:rPr>
      </w:pPr>
      <w:r>
        <w:rPr>
          <w:rFonts w:hint="eastAsia" w:ascii="仿宋" w:hAnsi="仿宋" w:eastAsia="仿宋" w:cs="仿宋"/>
          <w:b/>
          <w:sz w:val="24"/>
          <w:szCs w:val="24"/>
          <w:highlight w:val="none"/>
        </w:rPr>
        <w:t>1、适用范围</w:t>
      </w:r>
    </w:p>
    <w:p w14:paraId="07836B4C">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本比选文件仅适用于本比选邀请中所指采购项目，本比选文件的解释权在采购人和。</w:t>
      </w:r>
    </w:p>
    <w:p w14:paraId="11F25FE3">
      <w:pPr>
        <w:spacing w:line="360" w:lineRule="auto"/>
        <w:ind w:firstLine="482" w:firstLineChars="200"/>
        <w:rPr>
          <w:rFonts w:ascii="仿宋" w:hAnsi="仿宋" w:eastAsia="仿宋" w:cs="仿宋"/>
          <w:b/>
          <w:sz w:val="24"/>
          <w:szCs w:val="24"/>
          <w:highlight w:val="none"/>
        </w:rPr>
      </w:pPr>
      <w:r>
        <w:rPr>
          <w:rFonts w:hint="eastAsia" w:ascii="仿宋" w:hAnsi="仿宋" w:eastAsia="仿宋" w:cs="仿宋"/>
          <w:b/>
          <w:sz w:val="24"/>
          <w:szCs w:val="24"/>
          <w:highlight w:val="none"/>
        </w:rPr>
        <w:t>2、定义</w:t>
      </w:r>
    </w:p>
    <w:p w14:paraId="5A7E535E">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2.1 “采购人”系指依法进行采购的国家机关、事业单位、团体组织。本次采购项目的采购人是</w:t>
      </w:r>
      <w:r>
        <w:rPr>
          <w:rFonts w:hint="eastAsia" w:ascii="仿宋" w:hAnsi="仿宋" w:eastAsia="仿宋" w:cs="仿宋"/>
          <w:b/>
          <w:sz w:val="24"/>
          <w:szCs w:val="24"/>
          <w:highlight w:val="none"/>
          <w:lang w:eastAsia="zh-CN"/>
        </w:rPr>
        <w:t>四川商务职业学院</w:t>
      </w:r>
      <w:r>
        <w:rPr>
          <w:rFonts w:hint="eastAsia" w:ascii="仿宋" w:hAnsi="仿宋" w:eastAsia="仿宋" w:cs="仿宋"/>
          <w:b/>
          <w:sz w:val="24"/>
          <w:szCs w:val="24"/>
          <w:highlight w:val="none"/>
        </w:rPr>
        <w:t>。</w:t>
      </w:r>
    </w:p>
    <w:p w14:paraId="286A8923">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2.2 “采购代理部门”系指根据采购人的委托依法办理采购事宜的采购机构。本次采购项目的采购代理</w:t>
      </w:r>
      <w:r>
        <w:rPr>
          <w:rFonts w:hint="eastAsia" w:ascii="仿宋" w:hAnsi="仿宋" w:eastAsia="仿宋" w:cs="仿宋"/>
          <w:sz w:val="24"/>
          <w:szCs w:val="24"/>
          <w:highlight w:val="none"/>
          <w:lang w:val="en-US" w:eastAsia="zh-CN"/>
        </w:rPr>
        <w:t>部门</w:t>
      </w:r>
      <w:r>
        <w:rPr>
          <w:rFonts w:hint="eastAsia" w:ascii="仿宋" w:hAnsi="仿宋" w:eastAsia="仿宋" w:cs="仿宋"/>
          <w:sz w:val="24"/>
          <w:szCs w:val="24"/>
          <w:highlight w:val="none"/>
        </w:rPr>
        <w:t>是</w:t>
      </w:r>
      <w:r>
        <w:rPr>
          <w:rFonts w:hint="eastAsia" w:ascii="仿宋" w:hAnsi="仿宋" w:eastAsia="仿宋" w:cs="仿宋"/>
          <w:b/>
          <w:sz w:val="24"/>
          <w:szCs w:val="24"/>
          <w:highlight w:val="none"/>
        </w:rPr>
        <w:t>四川商务职业学院采购与招标管理中心</w:t>
      </w:r>
      <w:r>
        <w:rPr>
          <w:rFonts w:hint="eastAsia" w:ascii="仿宋" w:hAnsi="仿宋" w:eastAsia="仿宋" w:cs="仿宋"/>
          <w:sz w:val="24"/>
          <w:szCs w:val="24"/>
          <w:highlight w:val="none"/>
        </w:rPr>
        <w:t>。</w:t>
      </w:r>
    </w:p>
    <w:p w14:paraId="2E196FE9">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2.3 “比选申请人”系指向采购代理部门购买了比选文件，拟响应比选、参加比选竞争的法人、其他组织或者自然人。</w:t>
      </w:r>
    </w:p>
    <w:p w14:paraId="5F0B7EE0">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2.4 本比选文件要求比选申请人提交的原件，是指原始件（即：资料生成时的原始形态，包括所加盖的印章、相关人员签字笔迹等均是原始印痕、印迹和笔迹。）</w:t>
      </w:r>
    </w:p>
    <w:p w14:paraId="1F3CC7A2">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2.5 本比选文件所称“鲜章”，是指加盖的印章原始印痕（印迹），即把印章直接在纸页上盖出的印痕（印迹）。无特殊说明，本比选文件凡是要求 “单位(比选申请人)盖章”的地方，均应加盖单位的“行政公章”，不得使用专用印章（如合同章、税务专用章、投标专用章等）或下属单位印章代替。</w:t>
      </w:r>
    </w:p>
    <w:p w14:paraId="2BAB556E">
      <w:pPr>
        <w:spacing w:line="360" w:lineRule="auto"/>
        <w:ind w:firstLine="482" w:firstLineChars="200"/>
        <w:rPr>
          <w:rFonts w:ascii="仿宋" w:hAnsi="仿宋" w:eastAsia="仿宋" w:cs="仿宋"/>
          <w:b/>
          <w:sz w:val="24"/>
          <w:szCs w:val="24"/>
          <w:highlight w:val="none"/>
        </w:rPr>
      </w:pPr>
      <w:r>
        <w:rPr>
          <w:rFonts w:hint="eastAsia" w:ascii="仿宋" w:hAnsi="仿宋" w:eastAsia="仿宋" w:cs="仿宋"/>
          <w:b/>
          <w:sz w:val="24"/>
          <w:szCs w:val="24"/>
          <w:highlight w:val="none"/>
        </w:rPr>
        <w:t>3、比选费用（实质性要求）</w:t>
      </w:r>
    </w:p>
    <w:p w14:paraId="155775D9">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无论比选的过程和结果如何，比选申请人自行承担所有与参加比选有关的全部费用。</w:t>
      </w:r>
    </w:p>
    <w:p w14:paraId="08257C5E">
      <w:pPr>
        <w:spacing w:line="360" w:lineRule="auto"/>
        <w:ind w:firstLine="482" w:firstLineChars="200"/>
        <w:rPr>
          <w:rFonts w:ascii="仿宋" w:hAnsi="仿宋" w:eastAsia="仿宋" w:cs="仿宋"/>
          <w:b/>
          <w:sz w:val="24"/>
          <w:szCs w:val="24"/>
          <w:highlight w:val="none"/>
        </w:rPr>
      </w:pPr>
      <w:r>
        <w:rPr>
          <w:rFonts w:hint="eastAsia" w:ascii="仿宋" w:hAnsi="仿宋" w:eastAsia="仿宋" w:cs="仿宋"/>
          <w:b/>
          <w:sz w:val="24"/>
          <w:szCs w:val="24"/>
          <w:highlight w:val="none"/>
        </w:rPr>
        <w:t>4、参加人员及要求（实质性要求）</w:t>
      </w:r>
    </w:p>
    <w:p w14:paraId="0C82062E">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4.1 比选申请人须由法定代表人或其授权的本单位工作人员作为委托代理人参加比选，随时准备对比选小组的询问予以解答，对现场做出的解答需签字确认并承担法律责任。</w:t>
      </w:r>
    </w:p>
    <w:p w14:paraId="65F56A39">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4.2 法定代表人或其代理人参加比选时，须携带身份证或其他与法定代表人或其代理人身份相符的有效证件原件，以备查验。</w:t>
      </w:r>
    </w:p>
    <w:p w14:paraId="4D875124">
      <w:pPr>
        <w:spacing w:line="360" w:lineRule="auto"/>
        <w:ind w:firstLine="482" w:firstLineChars="200"/>
        <w:rPr>
          <w:rFonts w:ascii="仿宋" w:hAnsi="仿宋" w:eastAsia="仿宋" w:cs="仿宋"/>
          <w:b/>
          <w:sz w:val="24"/>
          <w:szCs w:val="24"/>
          <w:highlight w:val="none"/>
        </w:rPr>
      </w:pPr>
      <w:r>
        <w:rPr>
          <w:rFonts w:hint="eastAsia" w:ascii="仿宋" w:hAnsi="仿宋" w:eastAsia="仿宋" w:cs="仿宋"/>
          <w:b/>
          <w:sz w:val="24"/>
          <w:szCs w:val="24"/>
          <w:highlight w:val="none"/>
        </w:rPr>
        <w:t>5、比选文件说明</w:t>
      </w:r>
    </w:p>
    <w:p w14:paraId="7481F56F">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5.1 比选文件的构成</w:t>
      </w:r>
    </w:p>
    <w:p w14:paraId="13444960">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本比选文件包括比选申请人资格条件、比选邀请、采购方式、采购预算、采购需求、评审程序、评审方法、评审标准、价格构成或者报价要求、响应文件编制要求、比选保证金交纳数额和形式以及不予退还的情形、响应文件提交的截止时间、比选时间及地点以及合同草案条款等。</w:t>
      </w:r>
    </w:p>
    <w:p w14:paraId="63FE5694">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5.2 比选文件的澄清、修改</w:t>
      </w:r>
    </w:p>
    <w:p w14:paraId="334179D5">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提交首次响应文件截止之日前，采购人可以对已发出的比选文件进行必要的澄清或者修改，澄清或者修改的内容作为比选文件的组成部分。澄清或者修改的内容可能影响响应文件编制的，采购人将在提交首次响应文件截止时间至少3日前，以书面形式通知所有获取了比选文件的比选申请人；不足3日的，</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将顺延提交首次响应文件截止时间。</w:t>
      </w:r>
    </w:p>
    <w:p w14:paraId="2A993FA0">
      <w:pPr>
        <w:spacing w:line="360" w:lineRule="auto"/>
        <w:ind w:firstLine="482" w:firstLineChars="200"/>
        <w:rPr>
          <w:rFonts w:ascii="仿宋" w:hAnsi="仿宋" w:eastAsia="仿宋" w:cs="仿宋"/>
          <w:b/>
          <w:sz w:val="24"/>
          <w:szCs w:val="24"/>
          <w:highlight w:val="none"/>
        </w:rPr>
      </w:pPr>
      <w:r>
        <w:rPr>
          <w:rFonts w:hint="eastAsia" w:ascii="仿宋" w:hAnsi="仿宋" w:eastAsia="仿宋" w:cs="仿宋"/>
          <w:b/>
          <w:sz w:val="24"/>
          <w:szCs w:val="24"/>
          <w:highlight w:val="none"/>
        </w:rPr>
        <w:t>6、响应文件编写要求</w:t>
      </w:r>
    </w:p>
    <w:p w14:paraId="1FB09CBA">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6.1 总体要求</w:t>
      </w:r>
    </w:p>
    <w:p w14:paraId="72D9E3FE">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比选申请人应按照比选文件的要求编制响应文件，并对其提交的响应文件的真实性、合法性承担法律责任。</w:t>
      </w:r>
    </w:p>
    <w:p w14:paraId="216C6FEC">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6.2 语言及计量单位（实质性要求）</w:t>
      </w:r>
    </w:p>
    <w:p w14:paraId="19F65C48">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6.2.1 响应文件及比选申请人和采购人就比选交换的文件和往来信件，应以中文书写，辅助材料及证明材料以中文说明为准。</w:t>
      </w:r>
    </w:p>
    <w:p w14:paraId="6ED33E93">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6.2.2 除在比选文件中技术规格中另有规定外，响应文件所使用的计量单位均应使用中华人民共和国法定计量单位。</w:t>
      </w:r>
    </w:p>
    <w:p w14:paraId="05687693">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6.2.3本项目比选申请人报价货币及报价明细应使用人民币为计量单位。</w:t>
      </w:r>
    </w:p>
    <w:p w14:paraId="060B28CC">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6.3 响应文件的组成</w:t>
      </w:r>
    </w:p>
    <w:p w14:paraId="0C76A407">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6.3.1 比选申请人应当按比选文件中提供的响应文件格式填写。</w:t>
      </w:r>
    </w:p>
    <w:p w14:paraId="5E9D5C3A">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6.3.2 比选申请人应当将响应文件装订成册，并自行编制响应文件资料目录。</w:t>
      </w:r>
    </w:p>
    <w:p w14:paraId="6B02D59C">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6.4 比选有效期（实质性要求）</w:t>
      </w:r>
    </w:p>
    <w:p w14:paraId="08DDD72B">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6.4.1 比选有效期为递交响应文件截止时间届满后</w:t>
      </w:r>
      <w:r>
        <w:rPr>
          <w:rFonts w:hint="eastAsia" w:ascii="仿宋" w:hAnsi="仿宋" w:eastAsia="仿宋" w:cs="仿宋"/>
          <w:b/>
          <w:sz w:val="24"/>
          <w:szCs w:val="24"/>
          <w:highlight w:val="none"/>
        </w:rPr>
        <w:t>60</w:t>
      </w:r>
      <w:r>
        <w:rPr>
          <w:rFonts w:hint="eastAsia" w:ascii="仿宋" w:hAnsi="仿宋" w:eastAsia="仿宋" w:cs="仿宋"/>
          <w:sz w:val="24"/>
          <w:szCs w:val="24"/>
          <w:highlight w:val="none"/>
        </w:rPr>
        <w:t>天。响应文件中的有效期短于</w:t>
      </w:r>
      <w:r>
        <w:rPr>
          <w:rFonts w:hint="eastAsia" w:ascii="仿宋" w:hAnsi="仿宋" w:eastAsia="仿宋" w:cs="仿宋"/>
          <w:b/>
          <w:sz w:val="24"/>
          <w:szCs w:val="24"/>
          <w:highlight w:val="none"/>
        </w:rPr>
        <w:t>60</w:t>
      </w:r>
      <w:r>
        <w:rPr>
          <w:rFonts w:hint="eastAsia" w:ascii="仿宋" w:hAnsi="仿宋" w:eastAsia="仿宋" w:cs="仿宋"/>
          <w:sz w:val="24"/>
          <w:szCs w:val="24"/>
          <w:highlight w:val="none"/>
        </w:rPr>
        <w:t>天的，视为无效响应文件。</w:t>
      </w:r>
    </w:p>
    <w:p w14:paraId="47DA8856">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6.4.2 特殊情况下，</w:t>
      </w:r>
      <w:r>
        <w:rPr>
          <w:rFonts w:hint="eastAsia" w:ascii="仿宋" w:hAnsi="仿宋" w:eastAsia="仿宋" w:cs="仿宋"/>
          <w:b w:val="0"/>
          <w:bCs w:val="0"/>
          <w:color w:val="auto"/>
          <w:sz w:val="24"/>
          <w:szCs w:val="24"/>
          <w:highlight w:val="none"/>
          <w:u w:val="none"/>
          <w:lang w:eastAsia="zh-CN"/>
        </w:rPr>
        <w:t>采购人</w:t>
      </w:r>
      <w:r>
        <w:rPr>
          <w:rFonts w:hint="eastAsia" w:ascii="仿宋" w:hAnsi="仿宋" w:eastAsia="仿宋" w:cs="仿宋"/>
          <w:sz w:val="24"/>
          <w:szCs w:val="24"/>
          <w:highlight w:val="none"/>
        </w:rPr>
        <w:t>可以于比选有效期满之前，向供比选申请人提出延长比选有效期的要求。答复应以书面形式进行。对于同意该要求的比选申请人，既不要求也不允许其修改响应文件，但将要求其相应延长比选保证金的有效期。</w:t>
      </w:r>
    </w:p>
    <w:p w14:paraId="29FF9B2E">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6.5 响应文件的递交</w:t>
      </w:r>
    </w:p>
    <w:p w14:paraId="7B619C67">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 xml:space="preserve">6.5.1 响应文件的密封和标记 </w:t>
      </w:r>
    </w:p>
    <w:p w14:paraId="591F886F">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 xml:space="preserve">比选申请人应当将响应文件正本和副本分别左侧胶装成册，并分别密封完好，注明采购项目名称、采购项目编号、比选申请人名称、包号（如有分包）、年月日及正本或副本字样。 </w:t>
      </w:r>
    </w:p>
    <w:p w14:paraId="443E684F">
      <w:pPr>
        <w:widowControl/>
        <w:spacing w:line="360" w:lineRule="auto"/>
        <w:ind w:firstLine="480" w:firstLineChars="200"/>
        <w:jc w:val="left"/>
        <w:rPr>
          <w:rFonts w:ascii="仿宋" w:hAnsi="仿宋" w:eastAsia="仿宋" w:cs="仿宋"/>
          <w:b/>
          <w:sz w:val="24"/>
          <w:szCs w:val="24"/>
          <w:highlight w:val="none"/>
        </w:rPr>
      </w:pPr>
      <w:r>
        <w:rPr>
          <w:rFonts w:hint="eastAsia" w:ascii="仿宋" w:hAnsi="仿宋" w:eastAsia="仿宋" w:cs="仿宋"/>
          <w:sz w:val="24"/>
          <w:szCs w:val="24"/>
          <w:highlight w:val="none"/>
        </w:rPr>
        <w:t>6.5.2 比选申请人应当在规定的提交响应文件截止时间前，将响应文件密封后现场送达指定地点。在截止时间后送达的响应文件为无效文件，将被拒收。本项目不接受邮寄方式递交的响应文件。</w:t>
      </w:r>
    </w:p>
    <w:p w14:paraId="3FAD5990">
      <w:pPr>
        <w:spacing w:line="360" w:lineRule="auto"/>
        <w:ind w:firstLine="482" w:firstLineChars="200"/>
        <w:rPr>
          <w:rFonts w:ascii="仿宋" w:hAnsi="仿宋" w:eastAsia="仿宋" w:cs="仿宋"/>
          <w:b/>
          <w:sz w:val="24"/>
          <w:szCs w:val="24"/>
          <w:highlight w:val="none"/>
        </w:rPr>
      </w:pPr>
      <w:r>
        <w:rPr>
          <w:rFonts w:hint="eastAsia" w:ascii="仿宋" w:hAnsi="仿宋" w:eastAsia="仿宋" w:cs="仿宋"/>
          <w:b/>
          <w:sz w:val="24"/>
          <w:szCs w:val="24"/>
          <w:highlight w:val="none"/>
        </w:rPr>
        <w:t>7、响应文件的补充、修改或者撤回</w:t>
      </w:r>
    </w:p>
    <w:p w14:paraId="4E17222F">
      <w:pPr>
        <w:spacing w:line="360" w:lineRule="auto"/>
        <w:ind w:firstLine="470" w:firstLineChars="196"/>
        <w:rPr>
          <w:rFonts w:ascii="仿宋" w:hAnsi="仿宋" w:eastAsia="仿宋" w:cs="仿宋"/>
          <w:b w:val="0"/>
          <w:bCs w:val="0"/>
          <w:color w:val="auto"/>
          <w:sz w:val="24"/>
          <w:highlight w:val="none"/>
          <w:u w:val="none"/>
        </w:rPr>
      </w:pPr>
      <w:r>
        <w:rPr>
          <w:rFonts w:hint="eastAsia" w:ascii="仿宋" w:hAnsi="仿宋" w:eastAsia="仿宋" w:cs="仿宋"/>
          <w:sz w:val="24"/>
          <w:highlight w:val="none"/>
        </w:rPr>
        <w:t>7.1 比选申请人在递交了响应文件后，可以修改或撤回其响应文件，但必须在规定的递交响应文件截止时间前，</w:t>
      </w:r>
      <w:r>
        <w:rPr>
          <w:rFonts w:hint="eastAsia" w:ascii="仿宋" w:hAnsi="仿宋" w:eastAsia="仿宋" w:cs="仿宋"/>
          <w:b w:val="0"/>
          <w:bCs w:val="0"/>
          <w:color w:val="auto"/>
          <w:sz w:val="24"/>
          <w:highlight w:val="none"/>
          <w:u w:val="none"/>
        </w:rPr>
        <w:t>以书面形式通知</w:t>
      </w:r>
      <w:r>
        <w:rPr>
          <w:rFonts w:hint="eastAsia" w:ascii="仿宋" w:hAnsi="仿宋" w:eastAsia="仿宋" w:cs="仿宋"/>
          <w:b w:val="0"/>
          <w:bCs w:val="0"/>
          <w:color w:val="auto"/>
          <w:sz w:val="24"/>
          <w:highlight w:val="none"/>
          <w:u w:val="none"/>
          <w:lang w:val="en-US" w:eastAsia="zh-CN"/>
        </w:rPr>
        <w:t>采购人</w:t>
      </w:r>
      <w:r>
        <w:rPr>
          <w:rFonts w:hint="eastAsia" w:ascii="仿宋" w:hAnsi="仿宋" w:eastAsia="仿宋" w:cs="仿宋"/>
          <w:b w:val="0"/>
          <w:bCs w:val="0"/>
          <w:color w:val="auto"/>
          <w:sz w:val="24"/>
          <w:highlight w:val="none"/>
          <w:u w:val="none"/>
        </w:rPr>
        <w:t>。</w:t>
      </w:r>
    </w:p>
    <w:p w14:paraId="7774D2B6">
      <w:pPr>
        <w:spacing w:line="360" w:lineRule="auto"/>
        <w:ind w:firstLine="470" w:firstLineChars="196"/>
        <w:rPr>
          <w:rFonts w:ascii="仿宋" w:hAnsi="仿宋" w:eastAsia="仿宋" w:cs="仿宋"/>
          <w:sz w:val="24"/>
          <w:highlight w:val="none"/>
        </w:rPr>
      </w:pPr>
      <w:r>
        <w:rPr>
          <w:rFonts w:hint="eastAsia" w:ascii="仿宋" w:hAnsi="仿宋" w:eastAsia="仿宋" w:cs="仿宋"/>
          <w:sz w:val="24"/>
          <w:highlight w:val="none"/>
        </w:rPr>
        <w:t>7.2 比选申请人的修改书或撤回通知书，应由其法定代表人或授权代表签署并盖单位印章。修改书应按比选须知前附表第6条规定进行密封和标注，并在密封袋上标注“修改”字样。</w:t>
      </w:r>
      <w:r>
        <w:rPr>
          <w:rFonts w:hint="eastAsia" w:ascii="仿宋" w:hAnsi="仿宋" w:eastAsia="仿宋" w:cs="仿宋"/>
          <w:sz w:val="24"/>
          <w:szCs w:val="24"/>
          <w:highlight w:val="none"/>
        </w:rPr>
        <w:t>补充、修改的内容作为响应文件的组成部分。补充、修改的内容与响应文件不一致的，以补充、修改的内容为准。</w:t>
      </w:r>
    </w:p>
    <w:p w14:paraId="6F34D81B">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highlight w:val="none"/>
        </w:rPr>
        <w:t>7.3 在递交响应文件截止时间之后，比选申请人不得对其递交的响应文件做任何修改，撤回投标的，将按照有关规定进行相应处理。</w:t>
      </w:r>
    </w:p>
    <w:p w14:paraId="3E2D4FF1">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7.4 响应文件编制要求</w:t>
      </w:r>
    </w:p>
    <w:p w14:paraId="003FDFD8">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7.4.1 提交响应文件数量要求（实质性要求）</w:t>
      </w:r>
    </w:p>
    <w:p w14:paraId="6E7EEDD4">
      <w:pPr>
        <w:widowControl/>
        <w:spacing w:line="360" w:lineRule="auto"/>
        <w:ind w:firstLine="482" w:firstLineChars="200"/>
        <w:jc w:val="left"/>
        <w:rPr>
          <w:rFonts w:ascii="仿宋" w:hAnsi="仿宋" w:eastAsia="仿宋" w:cs="仿宋"/>
          <w:sz w:val="24"/>
          <w:szCs w:val="24"/>
          <w:highlight w:val="none"/>
        </w:rPr>
      </w:pPr>
      <w:r>
        <w:rPr>
          <w:rFonts w:hint="eastAsia" w:ascii="仿宋" w:hAnsi="仿宋" w:eastAsia="仿宋" w:cs="仿宋"/>
          <w:b/>
          <w:bCs/>
          <w:sz w:val="24"/>
          <w:szCs w:val="24"/>
          <w:highlight w:val="none"/>
        </w:rPr>
        <w:t>响应文件为一式四份，其中正本一份，副本二份，报价表一份（响应文件中包含一份，还应单独密封提交一份）。</w:t>
      </w:r>
    </w:p>
    <w:p w14:paraId="3EAF0092">
      <w:pPr>
        <w:spacing w:line="360" w:lineRule="auto"/>
        <w:ind w:firstLine="482" w:firstLineChars="200"/>
        <w:rPr>
          <w:rFonts w:ascii="仿宋" w:hAnsi="仿宋" w:eastAsia="仿宋" w:cs="仿宋"/>
          <w:b/>
          <w:sz w:val="24"/>
          <w:szCs w:val="24"/>
          <w:highlight w:val="none"/>
        </w:rPr>
      </w:pPr>
      <w:r>
        <w:rPr>
          <w:rFonts w:hint="eastAsia" w:ascii="仿宋" w:hAnsi="仿宋" w:eastAsia="仿宋" w:cs="仿宋"/>
          <w:b/>
          <w:sz w:val="24"/>
          <w:szCs w:val="24"/>
          <w:highlight w:val="none"/>
        </w:rPr>
        <w:t>8、其他</w:t>
      </w:r>
    </w:p>
    <w:p w14:paraId="01C4EA2F">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8.1 本部分如与比选文件其他部分有不同之处，以本部分内容为准。</w:t>
      </w:r>
    </w:p>
    <w:p w14:paraId="6B02CD8B">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8.2 比选开始后，除比选小组要求提供的以外，不接受比选申请人及与比选申请人有关的第三方递交的材料。</w:t>
      </w:r>
    </w:p>
    <w:p w14:paraId="100D87FF">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8.3 比选申请人认为比选文件、比选过程、中选结果使自己的合法权益受到损害的，可参照政府采购的相关规定维权。</w:t>
      </w:r>
    </w:p>
    <w:p w14:paraId="1FA5F866">
      <w:pPr>
        <w:spacing w:line="360" w:lineRule="auto"/>
        <w:ind w:firstLine="482" w:firstLineChars="200"/>
        <w:rPr>
          <w:rFonts w:ascii="仿宋" w:hAnsi="仿宋" w:eastAsia="仿宋" w:cs="仿宋"/>
          <w:b/>
          <w:sz w:val="24"/>
          <w:szCs w:val="24"/>
          <w:highlight w:val="none"/>
        </w:rPr>
      </w:pPr>
      <w:r>
        <w:rPr>
          <w:rFonts w:hint="eastAsia" w:ascii="仿宋" w:hAnsi="仿宋" w:eastAsia="仿宋" w:cs="仿宋"/>
          <w:b/>
          <w:sz w:val="24"/>
          <w:szCs w:val="24"/>
          <w:highlight w:val="none"/>
        </w:rPr>
        <w:t>9、采购人增加合同标的权利</w:t>
      </w:r>
    </w:p>
    <w:p w14:paraId="373FB210">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采购合同履行过程中，采购人需要追加与合同标的相同的货物/服务的，在不改变合同其他条款的前提下，可以与中选人协商签订补充合同，但所有补充合同的采购金额不得超过原合同采购金额的百分之十。</w:t>
      </w:r>
    </w:p>
    <w:p w14:paraId="102F4671">
      <w:pPr>
        <w:spacing w:line="360" w:lineRule="auto"/>
        <w:ind w:firstLine="482" w:firstLineChars="200"/>
        <w:rPr>
          <w:rFonts w:ascii="仿宋" w:hAnsi="仿宋" w:eastAsia="仿宋" w:cs="仿宋"/>
          <w:b/>
          <w:sz w:val="24"/>
          <w:szCs w:val="24"/>
          <w:highlight w:val="none"/>
        </w:rPr>
      </w:pPr>
      <w:r>
        <w:rPr>
          <w:rFonts w:hint="eastAsia" w:ascii="仿宋" w:hAnsi="仿宋" w:eastAsia="仿宋" w:cs="仿宋"/>
          <w:b/>
          <w:sz w:val="24"/>
          <w:szCs w:val="24"/>
          <w:highlight w:val="none"/>
        </w:rPr>
        <w:t>10、充分、公平竞争保障措施（实质性要求）</w:t>
      </w:r>
    </w:p>
    <w:p w14:paraId="77B956B4">
      <w:pPr>
        <w:widowControl/>
        <w:spacing w:line="360" w:lineRule="auto"/>
        <w:ind w:firstLine="482" w:firstLineChars="200"/>
        <w:jc w:val="left"/>
        <w:rPr>
          <w:rFonts w:ascii="仿宋" w:hAnsi="仿宋" w:eastAsia="仿宋" w:cs="仿宋"/>
          <w:b/>
          <w:sz w:val="24"/>
          <w:szCs w:val="24"/>
          <w:highlight w:val="none"/>
        </w:rPr>
      </w:pPr>
      <w:r>
        <w:rPr>
          <w:rFonts w:hint="eastAsia" w:ascii="仿宋" w:hAnsi="仿宋" w:eastAsia="仿宋" w:cs="仿宋"/>
          <w:b/>
          <w:sz w:val="24"/>
          <w:szCs w:val="24"/>
          <w:highlight w:val="none"/>
        </w:rPr>
        <w:t xml:space="preserve">10.1 利害关系供应商处理。 </w:t>
      </w:r>
    </w:p>
    <w:p w14:paraId="76EACA9D">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244A1DBB">
      <w:pPr>
        <w:widowControl/>
        <w:spacing w:line="360" w:lineRule="auto"/>
        <w:ind w:firstLine="482" w:firstLineChars="200"/>
        <w:jc w:val="left"/>
        <w:rPr>
          <w:rFonts w:ascii="仿宋" w:hAnsi="仿宋" w:eastAsia="仿宋" w:cs="仿宋"/>
          <w:b/>
          <w:sz w:val="24"/>
          <w:szCs w:val="24"/>
          <w:highlight w:val="none"/>
        </w:rPr>
      </w:pPr>
      <w:r>
        <w:rPr>
          <w:rFonts w:hint="eastAsia" w:ascii="仿宋" w:hAnsi="仿宋" w:eastAsia="仿宋" w:cs="仿宋"/>
          <w:b/>
          <w:sz w:val="24"/>
          <w:szCs w:val="24"/>
          <w:highlight w:val="none"/>
        </w:rPr>
        <w:t>10.2 前期参与供应商处理。</w:t>
      </w:r>
    </w:p>
    <w:p w14:paraId="4FAB7595">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为采购项目提供整体设计、规范编制或者项目管理、监理、检测等服务的供应商，不得再参加该采购项目的其他采购活动。供应商为</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在确定采购需求、编制比选文件过程中提供咨询论证，其提供的咨询论证意见成为比选文件中规定的供应商资格条件、技术服务商务要求、评审因素和标准、采购合同等实质性内容条款的，视同为采购项目提供规范编制。</w:t>
      </w:r>
    </w:p>
    <w:p w14:paraId="01853851">
      <w:pPr>
        <w:widowControl/>
        <w:spacing w:line="360" w:lineRule="auto"/>
        <w:ind w:firstLine="482" w:firstLineChars="200"/>
        <w:jc w:val="left"/>
        <w:rPr>
          <w:rFonts w:ascii="仿宋" w:hAnsi="仿宋" w:eastAsia="仿宋" w:cs="仿宋"/>
          <w:b/>
          <w:sz w:val="24"/>
          <w:szCs w:val="24"/>
          <w:highlight w:val="none"/>
        </w:rPr>
      </w:pPr>
      <w:r>
        <w:rPr>
          <w:rFonts w:hint="eastAsia" w:ascii="仿宋" w:hAnsi="仿宋" w:eastAsia="仿宋" w:cs="仿宋"/>
          <w:b/>
          <w:sz w:val="24"/>
          <w:szCs w:val="24"/>
          <w:highlight w:val="none"/>
        </w:rPr>
        <w:t>10.3 利害关系代理人处理。</w:t>
      </w:r>
    </w:p>
    <w:p w14:paraId="42A4D38E">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2 家以上的供应商不得在同一合同项下的采购项目中，同时委托同一个自然人、同一家庭的人员、同一单位的人员作为其代理人，否则其响应文件作为无效处理。</w:t>
      </w:r>
    </w:p>
    <w:p w14:paraId="68CBE30D">
      <w:pPr>
        <w:spacing w:line="360" w:lineRule="auto"/>
        <w:ind w:firstLine="482" w:firstLineChars="200"/>
        <w:rPr>
          <w:rFonts w:ascii="仿宋" w:hAnsi="仿宋" w:eastAsia="仿宋" w:cs="仿宋"/>
          <w:b/>
          <w:sz w:val="24"/>
          <w:szCs w:val="24"/>
          <w:highlight w:val="none"/>
        </w:rPr>
      </w:pPr>
      <w:r>
        <w:rPr>
          <w:rFonts w:hint="eastAsia" w:ascii="仿宋" w:hAnsi="仿宋" w:eastAsia="仿宋" w:cs="仿宋"/>
          <w:b/>
          <w:sz w:val="24"/>
          <w:szCs w:val="24"/>
          <w:highlight w:val="none"/>
        </w:rPr>
        <w:t>11、供应商不得具有的情形（实质性要求）</w:t>
      </w:r>
    </w:p>
    <w:p w14:paraId="4264F100">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（1）提供虚假材料谋取中标；</w:t>
      </w:r>
    </w:p>
    <w:p w14:paraId="13ECB865">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（2）采取不正当手段诋毁、排挤其他供应商；</w:t>
      </w:r>
    </w:p>
    <w:p w14:paraId="732DEC41">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（3）与招标采购单位、其他供应商恶意串通；</w:t>
      </w:r>
    </w:p>
    <w:p w14:paraId="3AB0710C">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（4）向比选采购单位、比选小组成员行贿或者提供其他不正当利益；</w:t>
      </w:r>
    </w:p>
    <w:p w14:paraId="31732B3F">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（5）在比选过程中与比选采购单位进行协商谈判；</w:t>
      </w:r>
    </w:p>
    <w:p w14:paraId="0EA09D24">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（6）中标或者成交后无正当理由拒不与采购人签订采购合同；</w:t>
      </w:r>
    </w:p>
    <w:p w14:paraId="6FAFDBFF">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（7）未按照比选文件确定的事项签订采购合同；</w:t>
      </w:r>
    </w:p>
    <w:p w14:paraId="3FF0CDD4">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（8）提供假冒伪劣产品；</w:t>
      </w:r>
    </w:p>
    <w:p w14:paraId="755A84A0">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（9）擅自变更、中止或者终止采购合同；</w:t>
      </w:r>
    </w:p>
    <w:p w14:paraId="2176B1C8">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（10）拒绝有关部门的监督检查或者向监督检查部门提供虚假情况；</w:t>
      </w:r>
    </w:p>
    <w:p w14:paraId="3096FBF2">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（11）为本比选项目前期准备提供设计或咨询服务的；</w:t>
      </w:r>
    </w:p>
    <w:p w14:paraId="43D450B3">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（12）为本比选项目的招标代理单位；</w:t>
      </w:r>
    </w:p>
    <w:p w14:paraId="41FB4E68">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（13）为本比选项目的监理单位；</w:t>
      </w:r>
    </w:p>
    <w:p w14:paraId="3AB05B4F">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（14）为本比选项目的代建单位；</w:t>
      </w:r>
    </w:p>
    <w:p w14:paraId="44B2B009">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（15）与以上单位同为一个法定代表人的；</w:t>
      </w:r>
    </w:p>
    <w:p w14:paraId="068324D2">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（16）与以上单位相互控股或参股的；</w:t>
      </w:r>
    </w:p>
    <w:p w14:paraId="2A6BC2FC">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（17）为采购人的附属机构，或与采购人存在利害关系可能影响比选公正性的；</w:t>
      </w:r>
    </w:p>
    <w:p w14:paraId="6E63DFA9">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（18）法律法规规定的其他情形。</w:t>
      </w:r>
    </w:p>
    <w:p w14:paraId="35849138">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供应商有上述情形的，按照规定追究法律责任，具备（1）-（18）条情形之一的，同时将取消成交资格或者认定成交无效。</w:t>
      </w:r>
    </w:p>
    <w:p w14:paraId="4F495E66">
      <w:pPr>
        <w:spacing w:line="360" w:lineRule="auto"/>
        <w:ind w:firstLine="482" w:firstLineChars="200"/>
        <w:rPr>
          <w:rFonts w:ascii="仿宋" w:hAnsi="仿宋" w:eastAsia="仿宋" w:cs="仿宋"/>
          <w:b/>
          <w:sz w:val="24"/>
          <w:szCs w:val="24"/>
          <w:highlight w:val="none"/>
        </w:rPr>
      </w:pPr>
      <w:r>
        <w:rPr>
          <w:rFonts w:hint="eastAsia" w:ascii="仿宋" w:hAnsi="仿宋" w:eastAsia="仿宋" w:cs="仿宋"/>
          <w:b/>
          <w:sz w:val="24"/>
          <w:szCs w:val="24"/>
          <w:highlight w:val="none"/>
        </w:rPr>
        <w:t>12、响应文件的印制和签署</w:t>
      </w:r>
    </w:p>
    <w:p w14:paraId="19FD8A45">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12.1 比选申请人准备的响应文件若正本和副本有不一致的内容，以正本书面响应文件为准。</w:t>
      </w:r>
    </w:p>
    <w:p w14:paraId="08F90836">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12.2 响应文件的正本和副本均需打印或用不褪色、不变质的墨水书写，并由比选申请人的法定代表人或其授权代表在规定签章处签字或盖章。响应文件副本可采用正本的复印件。</w:t>
      </w:r>
    </w:p>
    <w:p w14:paraId="42AF4E03">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12.3 响应文件的打印和书写应清楚工整，任何行间插字、涂改或增删，必须由比选申请人的法定代表人或其授权代表签字或盖个人印鉴。字迹潦草、表达不清或可能导致非唯一理解的响应文件可能视为无效比选。</w:t>
      </w:r>
    </w:p>
    <w:p w14:paraId="5D078C46">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12.4 响应文件正本和副本应装订完整。</w:t>
      </w:r>
    </w:p>
    <w:p w14:paraId="262B0587">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12.5 响应文件统一用 A4 幅面纸印制。</w:t>
      </w:r>
    </w:p>
    <w:p w14:paraId="438419C9">
      <w:pPr>
        <w:spacing w:line="360" w:lineRule="auto"/>
        <w:ind w:firstLine="482" w:firstLineChars="200"/>
        <w:rPr>
          <w:rFonts w:ascii="仿宋" w:hAnsi="仿宋" w:eastAsia="仿宋" w:cs="仿宋"/>
          <w:b/>
          <w:sz w:val="24"/>
          <w:szCs w:val="24"/>
          <w:highlight w:val="none"/>
        </w:rPr>
      </w:pPr>
      <w:r>
        <w:rPr>
          <w:rFonts w:hint="eastAsia" w:ascii="仿宋" w:hAnsi="仿宋" w:eastAsia="仿宋" w:cs="仿宋"/>
          <w:b/>
          <w:sz w:val="24"/>
          <w:szCs w:val="24"/>
          <w:highlight w:val="none"/>
        </w:rPr>
        <w:t>13、比选保证金（实质性要求）</w:t>
      </w:r>
    </w:p>
    <w:p w14:paraId="3411BA4E">
      <w:pPr>
        <w:spacing w:line="360" w:lineRule="auto"/>
        <w:ind w:firstLine="470" w:firstLineChars="196"/>
        <w:rPr>
          <w:rFonts w:ascii="仿宋" w:hAnsi="仿宋" w:eastAsia="仿宋" w:cs="仿宋"/>
          <w:sz w:val="24"/>
          <w:szCs w:val="24"/>
          <w:highlight w:val="none"/>
        </w:rPr>
      </w:pPr>
      <w:r>
        <w:rPr>
          <w:rFonts w:hint="eastAsia" w:ascii="仿宋" w:hAnsi="仿宋" w:eastAsia="仿宋" w:cs="仿宋"/>
          <w:sz w:val="24"/>
          <w:szCs w:val="24"/>
          <w:highlight w:val="none"/>
        </w:rPr>
        <w:t>本项目是否交纳比选保证金，以“比选须知前附表”为准。</w:t>
      </w:r>
    </w:p>
    <w:p w14:paraId="5A0FEF5A">
      <w:pPr>
        <w:spacing w:line="360" w:lineRule="auto"/>
        <w:ind w:firstLine="482" w:firstLineChars="200"/>
        <w:rPr>
          <w:rFonts w:ascii="仿宋" w:hAnsi="仿宋" w:eastAsia="仿宋" w:cs="仿宋"/>
          <w:b/>
          <w:sz w:val="24"/>
          <w:szCs w:val="24"/>
          <w:highlight w:val="none"/>
        </w:rPr>
      </w:pPr>
      <w:r>
        <w:rPr>
          <w:rFonts w:hint="eastAsia" w:ascii="仿宋" w:hAnsi="仿宋" w:eastAsia="仿宋" w:cs="仿宋"/>
          <w:b/>
          <w:sz w:val="24"/>
          <w:szCs w:val="24"/>
          <w:highlight w:val="none"/>
        </w:rPr>
        <w:t>14、联合体比选（实质性要求）</w:t>
      </w:r>
    </w:p>
    <w:p w14:paraId="7481AC54">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本项目</w:t>
      </w:r>
      <w:r>
        <w:rPr>
          <w:rFonts w:hint="eastAsia" w:ascii="仿宋" w:hAnsi="仿宋" w:eastAsia="仿宋" w:cs="仿宋"/>
          <w:b/>
          <w:sz w:val="24"/>
          <w:szCs w:val="24"/>
          <w:highlight w:val="none"/>
        </w:rPr>
        <w:t>不接受</w:t>
      </w:r>
      <w:r>
        <w:rPr>
          <w:rFonts w:hint="eastAsia" w:ascii="仿宋" w:hAnsi="仿宋" w:eastAsia="仿宋" w:cs="仿宋"/>
          <w:sz w:val="24"/>
          <w:szCs w:val="24"/>
          <w:highlight w:val="none"/>
        </w:rPr>
        <w:t>联合体参加比选活动。</w:t>
      </w:r>
    </w:p>
    <w:p w14:paraId="0A9D8F44">
      <w:pPr>
        <w:spacing w:line="360" w:lineRule="auto"/>
        <w:ind w:firstLine="482" w:firstLineChars="200"/>
        <w:rPr>
          <w:rFonts w:ascii="仿宋" w:hAnsi="仿宋" w:eastAsia="仿宋" w:cs="仿宋"/>
          <w:b/>
          <w:sz w:val="24"/>
          <w:szCs w:val="24"/>
          <w:highlight w:val="none"/>
        </w:rPr>
      </w:pPr>
      <w:r>
        <w:rPr>
          <w:rFonts w:hint="eastAsia" w:ascii="仿宋" w:hAnsi="仿宋" w:eastAsia="仿宋" w:cs="仿宋"/>
          <w:b/>
          <w:sz w:val="24"/>
          <w:szCs w:val="24"/>
          <w:highlight w:val="none"/>
        </w:rPr>
        <w:t>15、合同分包（实质性要求）</w:t>
      </w:r>
    </w:p>
    <w:p w14:paraId="43524045">
      <w:pPr>
        <w:widowControl/>
        <w:spacing w:line="360" w:lineRule="auto"/>
        <w:ind w:firstLine="482" w:firstLineChars="200"/>
        <w:jc w:val="left"/>
        <w:rPr>
          <w:rFonts w:ascii="仿宋" w:hAnsi="仿宋" w:eastAsia="仿宋" w:cs="仿宋"/>
          <w:sz w:val="24"/>
          <w:szCs w:val="24"/>
          <w:highlight w:val="none"/>
        </w:rPr>
      </w:pPr>
      <w:r>
        <w:rPr>
          <w:rFonts w:hint="eastAsia" w:ascii="仿宋" w:hAnsi="仿宋" w:eastAsia="仿宋" w:cs="仿宋"/>
          <w:b/>
          <w:bCs/>
          <w:color w:val="auto"/>
          <w:sz w:val="24"/>
          <w:szCs w:val="24"/>
          <w:highlight w:val="none"/>
        </w:rPr>
        <w:t>15.1经采购人同意，中选人可以依法采取分包方式履行合同</w:t>
      </w:r>
      <w:r>
        <w:rPr>
          <w:rFonts w:hint="eastAsia" w:ascii="仿宋" w:hAnsi="仿宋" w:eastAsia="仿宋" w:cs="仿宋"/>
          <w:color w:val="auto"/>
          <w:sz w:val="24"/>
          <w:szCs w:val="24"/>
          <w:highlight w:val="none"/>
        </w:rPr>
        <w:t>。</w:t>
      </w:r>
      <w:r>
        <w:rPr>
          <w:rFonts w:hint="eastAsia" w:ascii="仿宋" w:hAnsi="仿宋" w:eastAsia="仿宋" w:cs="仿宋"/>
          <w:sz w:val="24"/>
          <w:szCs w:val="24"/>
          <w:highlight w:val="none"/>
        </w:rPr>
        <w:t>这种要求应当在合同签订之前征得采购人同意，并且分包供应商履行的分包项目的品牌、规格型号及技术要求等，必须与中标的一致。分包履行合同的部分应当为采购项目的非主体、非关键性工作，不属于中选人的主要合同义务。</w:t>
      </w:r>
    </w:p>
    <w:p w14:paraId="24A35DC9">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15.2 采购合同实行分包履行的，中选人就采购项目和分包项目向采购人负责，分包供应商就分包项目承担责任。</w:t>
      </w:r>
    </w:p>
    <w:p w14:paraId="5821A074">
      <w:pPr>
        <w:spacing w:line="360" w:lineRule="auto"/>
        <w:ind w:firstLine="482" w:firstLineChars="200"/>
        <w:rPr>
          <w:rFonts w:ascii="仿宋" w:hAnsi="仿宋" w:eastAsia="仿宋" w:cs="仿宋"/>
          <w:b/>
          <w:sz w:val="24"/>
          <w:szCs w:val="24"/>
          <w:highlight w:val="none"/>
        </w:rPr>
      </w:pPr>
      <w:r>
        <w:rPr>
          <w:rFonts w:hint="eastAsia" w:ascii="仿宋" w:hAnsi="仿宋" w:eastAsia="仿宋" w:cs="仿宋"/>
          <w:b/>
          <w:sz w:val="24"/>
          <w:szCs w:val="24"/>
          <w:highlight w:val="none"/>
        </w:rPr>
        <w:t>16、合同转包（实质性要求）</w:t>
      </w:r>
    </w:p>
    <w:p w14:paraId="57605B83">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本采购项目严禁中选人将任何采购合同义务转包。本项目所称转包，是指中选人将采购合同义务转让给第三人，并退出现有采购合同当事人双方的权利义务关系，受让人（即第三人）成为采购合同的另一方当事人的行为。</w:t>
      </w:r>
    </w:p>
    <w:p w14:paraId="7FC4D716">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中选人转包的，视同拒绝履行采购合同义务，将依法追究法律责任。</w:t>
      </w:r>
    </w:p>
    <w:p w14:paraId="162AD306">
      <w:pPr>
        <w:spacing w:line="360" w:lineRule="auto"/>
        <w:ind w:firstLine="482" w:firstLineChars="200"/>
        <w:rPr>
          <w:rFonts w:ascii="仿宋" w:hAnsi="仿宋" w:eastAsia="仿宋" w:cs="仿宋"/>
          <w:b/>
          <w:sz w:val="24"/>
          <w:szCs w:val="24"/>
          <w:highlight w:val="none"/>
        </w:rPr>
      </w:pPr>
      <w:r>
        <w:rPr>
          <w:rFonts w:hint="eastAsia" w:ascii="仿宋" w:hAnsi="仿宋" w:eastAsia="仿宋" w:cs="仿宋"/>
          <w:b/>
          <w:sz w:val="24"/>
          <w:szCs w:val="24"/>
          <w:highlight w:val="none"/>
        </w:rPr>
        <w:t>17、有下列情形之一的，视为供应商串通比选，其响应文件无效：</w:t>
      </w:r>
    </w:p>
    <w:p w14:paraId="1AAB7A37">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（一）不同供应商的响应文件由同一单位或者个人编制；</w:t>
      </w:r>
    </w:p>
    <w:p w14:paraId="0024E373">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（二）不同供应商委托同一单位或者个人办理比选事宜；</w:t>
      </w:r>
    </w:p>
    <w:p w14:paraId="7760918E">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（三）不同供应商的响应文件载明的项目管理成员或者联系人员为同一人；</w:t>
      </w:r>
    </w:p>
    <w:p w14:paraId="59DD2323">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（四）不同供应商的响应文件异常一致或者比选报价呈规律性差异；</w:t>
      </w:r>
    </w:p>
    <w:p w14:paraId="66E48B84">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（五）不同供应商的响应文件相互混装；</w:t>
      </w:r>
    </w:p>
    <w:p w14:paraId="7872B3B7">
      <w:pPr>
        <w:spacing w:line="360" w:lineRule="auto"/>
        <w:ind w:firstLine="482" w:firstLineChars="200"/>
        <w:rPr>
          <w:rFonts w:ascii="仿宋" w:hAnsi="仿宋" w:eastAsia="仿宋" w:cs="仿宋"/>
          <w:sz w:val="24"/>
          <w:szCs w:val="24"/>
          <w:highlight w:val="none"/>
        </w:rPr>
      </w:pPr>
      <w:r>
        <w:rPr>
          <w:rFonts w:hint="eastAsia" w:ascii="仿宋" w:hAnsi="仿宋" w:eastAsia="仿宋" w:cs="仿宋"/>
          <w:b/>
          <w:bCs/>
          <w:sz w:val="24"/>
          <w:szCs w:val="24"/>
          <w:highlight w:val="none"/>
        </w:rPr>
        <w:t>18.评标情况公告</w:t>
      </w:r>
    </w:p>
    <w:p w14:paraId="286B1AF8">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本项目</w:t>
      </w:r>
      <w:r>
        <w:rPr>
          <w:rFonts w:hint="eastAsia" w:ascii="仿宋" w:hAnsi="仿宋" w:eastAsia="仿宋" w:cs="仿宋"/>
          <w:sz w:val="24"/>
          <w:szCs w:val="24"/>
          <w:highlight w:val="none"/>
        </w:rPr>
        <w:t>评审结果将在四川省招投标网及四川商务职业学院官网上采购结果公告栏中予以公告</w:t>
      </w:r>
      <w:r>
        <w:rPr>
          <w:rFonts w:hint="eastAsia" w:ascii="仿宋" w:hAnsi="仿宋" w:eastAsia="仿宋" w:cs="仿宋"/>
          <w:sz w:val="24"/>
          <w:highlight w:val="none"/>
        </w:rPr>
        <w:t>。</w:t>
      </w:r>
    </w:p>
    <w:p w14:paraId="20BDEA22">
      <w:pPr>
        <w:spacing w:line="360" w:lineRule="auto"/>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19.采购人确定中选人过程中，发现中选候选人有下列情形之一的，应当不予确定其为中选人：</w:t>
      </w:r>
    </w:p>
    <w:p w14:paraId="34D6DA29">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（1）发现中选候选人存在禁止参加本项目采购活动的违法行为的；</w:t>
      </w:r>
    </w:p>
    <w:p w14:paraId="6130B76F">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（2）中选候选人因不可抗力，不能继续参加政府采购活动；</w:t>
      </w:r>
    </w:p>
    <w:p w14:paraId="609C994B">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（3）中选候选人无偿赠与或者低于成本价竞争；</w:t>
      </w:r>
    </w:p>
    <w:p w14:paraId="734AF791">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（4）中选候选人提供虚假材料；</w:t>
      </w:r>
    </w:p>
    <w:p w14:paraId="13133D95">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（5）中选候选人恶意串通。</w:t>
      </w:r>
    </w:p>
    <w:p w14:paraId="5356BA8E">
      <w:pPr>
        <w:spacing w:line="360" w:lineRule="auto"/>
        <w:ind w:firstLine="482" w:firstLineChars="200"/>
        <w:rPr>
          <w:rFonts w:ascii="仿宋" w:hAnsi="仿宋" w:eastAsia="仿宋" w:cs="仿宋"/>
          <w:b/>
          <w:bCs/>
          <w:sz w:val="24"/>
          <w:szCs w:val="24"/>
          <w:highlight w:val="none"/>
        </w:rPr>
      </w:pPr>
      <w:bookmarkStart w:id="11" w:name="_Toc217446065"/>
      <w:bookmarkStart w:id="12" w:name="_Toc490290213"/>
      <w:bookmarkStart w:id="13" w:name="_Toc308164811"/>
      <w:r>
        <w:rPr>
          <w:rFonts w:hint="eastAsia" w:ascii="仿宋" w:hAnsi="仿宋" w:eastAsia="仿宋" w:cs="仿宋"/>
          <w:b/>
          <w:bCs/>
          <w:sz w:val="24"/>
          <w:highlight w:val="none"/>
        </w:rPr>
        <w:t>20.</w:t>
      </w:r>
      <w:r>
        <w:rPr>
          <w:rFonts w:hint="eastAsia" w:ascii="仿宋" w:hAnsi="仿宋" w:eastAsia="仿宋" w:cs="仿宋"/>
          <w:b/>
          <w:bCs/>
          <w:sz w:val="24"/>
          <w:szCs w:val="24"/>
          <w:highlight w:val="none"/>
        </w:rPr>
        <w:t>签订合同</w:t>
      </w:r>
      <w:bookmarkEnd w:id="11"/>
      <w:bookmarkEnd w:id="12"/>
      <w:bookmarkEnd w:id="13"/>
    </w:p>
    <w:p w14:paraId="387A7980">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20.1 中选人应在中选公告发出之日起</w:t>
      </w:r>
      <w:r>
        <w:rPr>
          <w:rFonts w:hint="eastAsia" w:ascii="仿宋" w:hAnsi="仿宋" w:eastAsia="仿宋" w:cs="仿宋"/>
          <w:b/>
          <w:bCs/>
          <w:sz w:val="24"/>
          <w:highlight w:val="none"/>
          <w:u w:val="single"/>
        </w:rPr>
        <w:t>三十日内</w:t>
      </w:r>
      <w:r>
        <w:rPr>
          <w:rFonts w:hint="eastAsia" w:ascii="仿宋" w:hAnsi="仿宋" w:eastAsia="仿宋" w:cs="仿宋"/>
          <w:sz w:val="24"/>
          <w:highlight w:val="none"/>
        </w:rPr>
        <w:t>与采购人签订采购合同。由于中选人的原因逾期未与采购人签订采购合同的，将视为放弃中标，取消其中标资格并将按相关规定进行处理。</w:t>
      </w:r>
    </w:p>
    <w:p w14:paraId="7984E543">
      <w:pPr>
        <w:spacing w:line="360" w:lineRule="auto"/>
        <w:ind w:firstLine="420" w:firstLineChars="175"/>
        <w:rPr>
          <w:rFonts w:ascii="仿宋" w:hAnsi="仿宋" w:eastAsia="仿宋" w:cs="仿宋"/>
          <w:sz w:val="24"/>
          <w:highlight w:val="none"/>
        </w:rPr>
      </w:pPr>
      <w:r>
        <w:rPr>
          <w:rFonts w:hint="eastAsia" w:ascii="仿宋" w:hAnsi="仿宋" w:eastAsia="仿宋" w:cs="仿宋"/>
          <w:sz w:val="24"/>
          <w:highlight w:val="none"/>
        </w:rPr>
        <w:t>20.2 采购人不得向中选人提出任何不合理的要求，作为签订合同的条件，不得与中选人私下订立背离合同实质性内容的任何协议，所签订的合同不得对比选文件和中选人响应文件确定的事项进行修改。</w:t>
      </w:r>
    </w:p>
    <w:p w14:paraId="7AB53465">
      <w:pPr>
        <w:spacing w:line="360" w:lineRule="auto"/>
        <w:ind w:firstLine="420" w:firstLineChars="175"/>
        <w:rPr>
          <w:rFonts w:ascii="仿宋" w:hAnsi="仿宋" w:eastAsia="仿宋" w:cs="仿宋"/>
          <w:sz w:val="24"/>
          <w:highlight w:val="none"/>
        </w:rPr>
      </w:pPr>
      <w:r>
        <w:rPr>
          <w:rFonts w:hint="eastAsia" w:ascii="仿宋" w:hAnsi="仿宋" w:eastAsia="仿宋" w:cs="仿宋"/>
          <w:sz w:val="24"/>
          <w:highlight w:val="none"/>
        </w:rPr>
        <w:t>20.3 中选人因不可抗力原因不能履行采购合同或放弃中标的，采购人可以与排在中选人之后第一位的中选候选人签订采购合同，以此类推。</w:t>
      </w:r>
    </w:p>
    <w:p w14:paraId="5248F279">
      <w:pPr>
        <w:spacing w:line="360" w:lineRule="auto"/>
        <w:ind w:firstLine="482" w:firstLineChars="200"/>
        <w:rPr>
          <w:rFonts w:ascii="仿宋" w:hAnsi="仿宋" w:eastAsia="仿宋" w:cs="仿宋"/>
          <w:b/>
          <w:bCs/>
          <w:sz w:val="24"/>
          <w:szCs w:val="24"/>
          <w:highlight w:val="none"/>
        </w:rPr>
      </w:pPr>
      <w:bookmarkStart w:id="14" w:name="_Toc490290220"/>
      <w:r>
        <w:rPr>
          <w:rFonts w:hint="eastAsia" w:ascii="仿宋" w:hAnsi="仿宋" w:eastAsia="仿宋" w:cs="仿宋"/>
          <w:b/>
          <w:bCs/>
          <w:sz w:val="24"/>
          <w:szCs w:val="24"/>
          <w:highlight w:val="none"/>
        </w:rPr>
        <w:t>21. 履行合同</w:t>
      </w:r>
      <w:bookmarkEnd w:id="14"/>
    </w:p>
    <w:p w14:paraId="7FEC17C6">
      <w:pPr>
        <w:spacing w:line="360" w:lineRule="auto"/>
        <w:rPr>
          <w:rFonts w:ascii="仿宋" w:hAnsi="仿宋" w:eastAsia="仿宋" w:cs="仿宋"/>
          <w:sz w:val="24"/>
          <w:highlight w:val="none"/>
        </w:rPr>
      </w:pPr>
      <w:r>
        <w:rPr>
          <w:rFonts w:hint="eastAsia" w:ascii="仿宋" w:hAnsi="仿宋" w:eastAsia="仿宋" w:cs="仿宋"/>
          <w:sz w:val="24"/>
          <w:highlight w:val="none"/>
        </w:rPr>
        <w:t xml:space="preserve">   21.1 中选人与采购人签订合同后，合同双方应严格执行合同条款，履行合同规定的义务，保证合同的顺利完成。</w:t>
      </w:r>
    </w:p>
    <w:p w14:paraId="4342FF52">
      <w:pPr>
        <w:spacing w:line="360" w:lineRule="auto"/>
        <w:ind w:firstLine="240" w:firstLineChars="100"/>
        <w:rPr>
          <w:rFonts w:ascii="仿宋" w:hAnsi="仿宋" w:eastAsia="仿宋" w:cs="仿宋"/>
          <w:b/>
          <w:sz w:val="24"/>
          <w:szCs w:val="24"/>
          <w:highlight w:val="none"/>
        </w:rPr>
      </w:pPr>
      <w:r>
        <w:rPr>
          <w:rFonts w:hint="eastAsia" w:ascii="仿宋" w:hAnsi="仿宋" w:eastAsia="仿宋" w:cs="仿宋"/>
          <w:sz w:val="24"/>
          <w:highlight w:val="none"/>
        </w:rPr>
        <w:t>21.2 在合同履行过程中，如发生合同纠纷，合同双方应按照《中华人民共和国民法典》的有关规定进行处理。</w:t>
      </w:r>
    </w:p>
    <w:p w14:paraId="6F277265">
      <w:pPr>
        <w:spacing w:line="360" w:lineRule="auto"/>
        <w:ind w:firstLine="482"/>
        <w:rPr>
          <w:rFonts w:ascii="仿宋" w:hAnsi="仿宋" w:eastAsia="仿宋" w:cs="仿宋"/>
          <w:b/>
          <w:kern w:val="1"/>
          <w:sz w:val="24"/>
          <w:szCs w:val="24"/>
          <w:highlight w:val="none"/>
        </w:rPr>
      </w:pPr>
      <w:r>
        <w:rPr>
          <w:rFonts w:hint="eastAsia" w:ascii="仿宋" w:hAnsi="仿宋" w:eastAsia="仿宋" w:cs="仿宋"/>
          <w:b/>
          <w:sz w:val="24"/>
          <w:szCs w:val="24"/>
          <w:highlight w:val="none"/>
        </w:rPr>
        <w:t>22、</w:t>
      </w:r>
      <w:r>
        <w:rPr>
          <w:rFonts w:hint="eastAsia" w:ascii="仿宋" w:hAnsi="仿宋" w:eastAsia="仿宋" w:cs="仿宋"/>
          <w:b/>
          <w:kern w:val="1"/>
          <w:sz w:val="24"/>
          <w:szCs w:val="24"/>
          <w:highlight w:val="none"/>
        </w:rPr>
        <w:t>询问及质疑</w:t>
      </w:r>
    </w:p>
    <w:p w14:paraId="704FD16E">
      <w:pPr>
        <w:widowControl/>
        <w:spacing w:line="360" w:lineRule="auto"/>
        <w:ind w:firstLine="480"/>
        <w:jc w:val="left"/>
        <w:rPr>
          <w:rFonts w:ascii="仿宋" w:hAnsi="仿宋" w:eastAsia="仿宋" w:cs="仿宋"/>
          <w:kern w:val="1"/>
          <w:sz w:val="24"/>
          <w:szCs w:val="24"/>
          <w:highlight w:val="none"/>
        </w:rPr>
      </w:pPr>
      <w:r>
        <w:rPr>
          <w:rFonts w:hint="eastAsia" w:ascii="仿宋" w:hAnsi="仿宋" w:eastAsia="仿宋" w:cs="仿宋"/>
          <w:kern w:val="1"/>
          <w:sz w:val="24"/>
          <w:szCs w:val="24"/>
          <w:highlight w:val="none"/>
        </w:rPr>
        <w:t>询问及质疑的接收和处理参照《中华人共和国政府采购法》、《中华人共和国政府采购法实施条例》、《中华人民共和国财政部令第94号政府采购质疑和投诉办法》 、《财政部关于加强政府采购供应商投诉受理审查工作的通知》的规定办理（详细规定请自行查询中国政府采购网或四川政府采购网政策法规相关内容）。针对比选文件技术条款和专业商务条件的质疑由采购人进行回复，</w:t>
      </w:r>
      <w:r>
        <w:rPr>
          <w:rFonts w:hint="eastAsia" w:ascii="仿宋" w:hAnsi="仿宋" w:eastAsia="仿宋" w:cs="仿宋"/>
          <w:b w:val="0"/>
          <w:bCs w:val="0"/>
          <w:color w:val="auto"/>
          <w:kern w:val="1"/>
          <w:sz w:val="24"/>
          <w:szCs w:val="24"/>
          <w:highlight w:val="none"/>
        </w:rPr>
        <w:t>比选过程、比选成交结果提出的质疑由</w:t>
      </w:r>
      <w:r>
        <w:rPr>
          <w:rFonts w:hint="eastAsia" w:ascii="仿宋" w:hAnsi="仿宋" w:eastAsia="仿宋" w:cs="仿宋"/>
          <w:b w:val="0"/>
          <w:bCs w:val="0"/>
          <w:color w:val="auto"/>
          <w:kern w:val="1"/>
          <w:sz w:val="24"/>
          <w:szCs w:val="24"/>
          <w:highlight w:val="none"/>
          <w:lang w:val="en-US" w:eastAsia="zh-CN"/>
        </w:rPr>
        <w:t>采购人</w:t>
      </w:r>
      <w:r>
        <w:rPr>
          <w:rFonts w:hint="eastAsia" w:ascii="仿宋" w:hAnsi="仿宋" w:eastAsia="仿宋" w:cs="仿宋"/>
          <w:b w:val="0"/>
          <w:bCs w:val="0"/>
          <w:color w:val="auto"/>
          <w:kern w:val="1"/>
          <w:sz w:val="24"/>
          <w:szCs w:val="24"/>
          <w:highlight w:val="none"/>
        </w:rPr>
        <w:t>进行回复。</w:t>
      </w:r>
      <w:bookmarkStart w:id="15" w:name="_Hlk517962386"/>
      <w:r>
        <w:rPr>
          <w:rFonts w:hint="eastAsia" w:ascii="仿宋" w:hAnsi="仿宋" w:eastAsia="仿宋" w:cs="仿宋"/>
          <w:kern w:val="1"/>
          <w:sz w:val="24"/>
          <w:szCs w:val="24"/>
          <w:highlight w:val="none"/>
        </w:rPr>
        <w:t>供应商应在法定质疑期内一次性提出针对同一采购程序环节的质疑。</w:t>
      </w:r>
      <w:bookmarkEnd w:id="15"/>
    </w:p>
    <w:p w14:paraId="76799C7B">
      <w:pPr>
        <w:spacing w:line="360" w:lineRule="auto"/>
        <w:ind w:firstLine="482" w:firstLineChars="200"/>
        <w:rPr>
          <w:rFonts w:ascii="仿宋" w:hAnsi="仿宋" w:eastAsia="仿宋" w:cs="仿宋"/>
          <w:b/>
          <w:sz w:val="24"/>
          <w:szCs w:val="24"/>
          <w:highlight w:val="none"/>
        </w:rPr>
      </w:pPr>
      <w:r>
        <w:rPr>
          <w:rFonts w:hint="eastAsia" w:ascii="仿宋" w:hAnsi="仿宋" w:eastAsia="仿宋" w:cs="仿宋"/>
          <w:b/>
          <w:sz w:val="24"/>
          <w:szCs w:val="24"/>
          <w:highlight w:val="none"/>
        </w:rPr>
        <w:t>23、其他</w:t>
      </w:r>
    </w:p>
    <w:p w14:paraId="41C3B5AD">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本比选文件中所引相关法律制度规定，在采购中有变化的，按照变化后的相关法律制度规定执行。比选文件规定的其他内容条款，在本项目递交响应文件截止时间届满后，因相关法律制度规定的变化导致不符合相关法律制度规定的，直接按照变化后的相关法律制度规定执行，本比选文件不再做调整。</w:t>
      </w:r>
    </w:p>
    <w:p w14:paraId="76FB318F">
      <w:pPr>
        <w:pStyle w:val="22"/>
        <w:rPr>
          <w:rFonts w:ascii="仿宋" w:hAnsi="仿宋" w:eastAsia="仿宋" w:cs="仿宋"/>
          <w:highlight w:val="none"/>
        </w:rPr>
        <w:sectPr>
          <w:pgSz w:w="11906" w:h="16838"/>
          <w:pgMar w:top="1440" w:right="1797" w:bottom="1440" w:left="1797" w:header="851" w:footer="850" w:gutter="0"/>
          <w:cols w:space="720" w:num="1"/>
          <w:docGrid w:type="lines" w:linePitch="381" w:charSpace="0"/>
        </w:sectPr>
      </w:pPr>
    </w:p>
    <w:p w14:paraId="1F82F6A9">
      <w:pPr>
        <w:pStyle w:val="2"/>
        <w:pageBreakBefore/>
        <w:spacing w:before="381" w:after="190" w:line="500" w:lineRule="exact"/>
        <w:rPr>
          <w:rFonts w:ascii="仿宋" w:hAnsi="仿宋" w:eastAsia="仿宋" w:cs="仿宋"/>
          <w:b/>
          <w:highlight w:val="none"/>
        </w:rPr>
      </w:pPr>
      <w:bookmarkStart w:id="16" w:name="_Toc1513"/>
      <w:r>
        <w:rPr>
          <w:rFonts w:hint="eastAsia" w:ascii="仿宋" w:hAnsi="仿宋" w:eastAsia="仿宋" w:cs="仿宋"/>
          <w:b/>
          <w:highlight w:val="none"/>
        </w:rPr>
        <w:t>第三</w:t>
      </w:r>
      <w:bookmarkEnd w:id="9"/>
      <w:r>
        <w:rPr>
          <w:rFonts w:hint="eastAsia" w:ascii="仿宋" w:hAnsi="仿宋" w:eastAsia="仿宋" w:cs="仿宋"/>
          <w:b/>
          <w:highlight w:val="none"/>
        </w:rPr>
        <w:t>章 部分响应文件格式</w:t>
      </w:r>
      <w:bookmarkEnd w:id="16"/>
    </w:p>
    <w:p w14:paraId="796E9969">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一、本章所制响应文件格式，除格式中明确将该格式作为实质性要求的，一律不具有强制性。</w:t>
      </w:r>
    </w:p>
    <w:p w14:paraId="2774C2AC">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二、本章所制响应文件格式有关表格中的备注栏，由比选申请人根据自身比选情况作解释性说明，不作为必填项。</w:t>
      </w:r>
    </w:p>
    <w:p w14:paraId="02EC362A">
      <w:pPr>
        <w:widowControl/>
        <w:spacing w:line="360" w:lineRule="auto"/>
        <w:ind w:firstLine="480" w:firstLineChars="200"/>
        <w:jc w:val="left"/>
        <w:rPr>
          <w:rFonts w:ascii="仿宋" w:hAnsi="仿宋" w:eastAsia="仿宋" w:cs="仿宋"/>
          <w:sz w:val="24"/>
          <w:szCs w:val="24"/>
          <w:highlight w:val="none"/>
        </w:rPr>
        <w:sectPr>
          <w:pgSz w:w="11906" w:h="16838"/>
          <w:pgMar w:top="1440" w:right="1800" w:bottom="1440" w:left="1800" w:header="851" w:footer="850" w:gutter="0"/>
          <w:cols w:space="720" w:num="1"/>
          <w:docGrid w:type="lines" w:linePitch="381" w:charSpace="0"/>
        </w:sectPr>
      </w:pPr>
      <w:r>
        <w:rPr>
          <w:rFonts w:hint="eastAsia" w:ascii="仿宋" w:hAnsi="仿宋" w:eastAsia="仿宋" w:cs="仿宋"/>
          <w:sz w:val="24"/>
          <w:szCs w:val="24"/>
          <w:highlight w:val="none"/>
        </w:rPr>
        <w:t>三、本章所制响应文件格式中需要填写的相关内容事项，可能会与本采购项目无关，在不改变响应文件原义、不影响本项目采购需求的情况下，比选申请人可以不予填写，但应当注明。</w:t>
      </w:r>
    </w:p>
    <w:p w14:paraId="7FC00CB3">
      <w:pPr>
        <w:pStyle w:val="3"/>
        <w:ind w:firstLine="643"/>
        <w:jc w:val="center"/>
        <w:rPr>
          <w:rFonts w:ascii="仿宋" w:hAnsi="仿宋" w:eastAsia="仿宋" w:cs="仿宋"/>
          <w:sz w:val="32"/>
          <w:szCs w:val="32"/>
          <w:highlight w:val="none"/>
        </w:rPr>
      </w:pPr>
      <w:bookmarkStart w:id="17" w:name="_Toc497923230"/>
      <w:r>
        <w:rPr>
          <w:rFonts w:hint="eastAsia" w:ascii="仿宋" w:hAnsi="仿宋" w:eastAsia="仿宋" w:cs="仿宋"/>
          <w:sz w:val="32"/>
          <w:szCs w:val="32"/>
          <w:highlight w:val="none"/>
        </w:rPr>
        <w:t>一、响应文件封面</w:t>
      </w:r>
    </w:p>
    <w:p w14:paraId="0C4B0007">
      <w:pPr>
        <w:spacing w:line="360" w:lineRule="auto"/>
        <w:jc w:val="right"/>
        <w:rPr>
          <w:rFonts w:ascii="仿宋" w:hAnsi="仿宋" w:eastAsia="仿宋" w:cs="仿宋"/>
          <w:b/>
          <w:bCs/>
          <w:kern w:val="0"/>
          <w:sz w:val="72"/>
          <w:szCs w:val="72"/>
          <w:highlight w:val="none"/>
        </w:rPr>
      </w:pPr>
      <w:r>
        <w:rPr>
          <w:rFonts w:hint="eastAsia" w:ascii="仿宋" w:hAnsi="仿宋" w:eastAsia="仿宋" w:cs="仿宋"/>
          <w:b/>
          <w:bCs/>
          <w:w w:val="110"/>
          <w:kern w:val="0"/>
          <w:sz w:val="36"/>
          <w:szCs w:val="36"/>
          <w:highlight w:val="none"/>
        </w:rPr>
        <w:t>（正本/副本）</w:t>
      </w:r>
    </w:p>
    <w:p w14:paraId="757AB93C">
      <w:pPr>
        <w:widowControl/>
        <w:spacing w:line="360" w:lineRule="auto"/>
        <w:jc w:val="left"/>
        <w:rPr>
          <w:rFonts w:ascii="仿宋" w:hAnsi="仿宋" w:eastAsia="仿宋" w:cs="仿宋"/>
          <w:b/>
          <w:kern w:val="0"/>
          <w:sz w:val="72"/>
          <w:highlight w:val="none"/>
        </w:rPr>
      </w:pPr>
    </w:p>
    <w:p w14:paraId="42408B78">
      <w:pPr>
        <w:pStyle w:val="195"/>
        <w:ind w:left="2" w:leftChars="0" w:hanging="2" w:firstLineChars="0"/>
        <w:jc w:val="center"/>
        <w:rPr>
          <w:rFonts w:ascii="仿宋" w:hAnsi="仿宋" w:eastAsia="仿宋" w:cs="仿宋"/>
          <w:b/>
          <w:bCs/>
          <w:sz w:val="72"/>
          <w:szCs w:val="72"/>
          <w:highlight w:val="none"/>
        </w:rPr>
      </w:pPr>
      <w:bookmarkStart w:id="18" w:name="_Toc499564428"/>
      <w:bookmarkStart w:id="19" w:name="_Toc501547481"/>
      <w:bookmarkStart w:id="20" w:name="_Toc498586715"/>
      <w:bookmarkStart w:id="21" w:name="_Toc13750"/>
      <w:r>
        <w:rPr>
          <w:rFonts w:hint="eastAsia" w:ascii="仿宋" w:hAnsi="仿宋" w:eastAsia="仿宋" w:cs="仿宋"/>
          <w:b/>
          <w:bCs/>
          <w:sz w:val="72"/>
          <w:szCs w:val="72"/>
          <w:highlight w:val="none"/>
        </w:rPr>
        <w:t>响</w:t>
      </w:r>
    </w:p>
    <w:p w14:paraId="12659DD9">
      <w:pPr>
        <w:pStyle w:val="195"/>
        <w:ind w:left="2" w:leftChars="0" w:hanging="2" w:firstLineChars="0"/>
        <w:jc w:val="center"/>
        <w:rPr>
          <w:rFonts w:ascii="仿宋" w:hAnsi="仿宋" w:eastAsia="仿宋" w:cs="仿宋"/>
          <w:b/>
          <w:bCs/>
          <w:sz w:val="72"/>
          <w:szCs w:val="72"/>
          <w:highlight w:val="none"/>
        </w:rPr>
      </w:pPr>
      <w:r>
        <w:rPr>
          <w:rFonts w:hint="eastAsia" w:ascii="仿宋" w:hAnsi="仿宋" w:eastAsia="仿宋" w:cs="仿宋"/>
          <w:b/>
          <w:bCs/>
          <w:sz w:val="72"/>
          <w:szCs w:val="72"/>
          <w:highlight w:val="none"/>
        </w:rPr>
        <w:t>应</w:t>
      </w:r>
    </w:p>
    <w:p w14:paraId="6A49CA40">
      <w:pPr>
        <w:pStyle w:val="195"/>
        <w:ind w:left="2" w:leftChars="0" w:hanging="2" w:firstLineChars="0"/>
        <w:jc w:val="center"/>
        <w:rPr>
          <w:rFonts w:ascii="仿宋" w:hAnsi="仿宋" w:eastAsia="仿宋" w:cs="仿宋"/>
          <w:b/>
          <w:bCs/>
          <w:sz w:val="72"/>
          <w:szCs w:val="72"/>
          <w:highlight w:val="none"/>
        </w:rPr>
      </w:pPr>
      <w:r>
        <w:rPr>
          <w:rFonts w:hint="eastAsia" w:ascii="仿宋" w:hAnsi="仿宋" w:eastAsia="仿宋" w:cs="仿宋"/>
          <w:b/>
          <w:bCs/>
          <w:sz w:val="72"/>
          <w:szCs w:val="72"/>
          <w:highlight w:val="none"/>
        </w:rPr>
        <w:t>文</w:t>
      </w:r>
    </w:p>
    <w:p w14:paraId="461D397E">
      <w:pPr>
        <w:pStyle w:val="195"/>
        <w:ind w:left="2" w:leftChars="0" w:hanging="2" w:firstLineChars="0"/>
        <w:jc w:val="center"/>
        <w:rPr>
          <w:rFonts w:ascii="仿宋" w:hAnsi="仿宋" w:eastAsia="仿宋" w:cs="仿宋"/>
          <w:b/>
          <w:bCs/>
          <w:sz w:val="72"/>
          <w:szCs w:val="72"/>
          <w:highlight w:val="none"/>
        </w:rPr>
      </w:pPr>
      <w:r>
        <w:rPr>
          <w:rFonts w:hint="eastAsia" w:ascii="仿宋" w:hAnsi="仿宋" w:eastAsia="仿宋" w:cs="仿宋"/>
          <w:b/>
          <w:bCs/>
          <w:sz w:val="72"/>
          <w:szCs w:val="72"/>
          <w:highlight w:val="none"/>
        </w:rPr>
        <w:t>件</w:t>
      </w:r>
      <w:bookmarkEnd w:id="18"/>
      <w:bookmarkEnd w:id="19"/>
      <w:bookmarkEnd w:id="20"/>
      <w:bookmarkEnd w:id="21"/>
    </w:p>
    <w:p w14:paraId="512A256B">
      <w:pPr>
        <w:widowControl/>
        <w:spacing w:line="360" w:lineRule="auto"/>
        <w:rPr>
          <w:rFonts w:ascii="仿宋" w:hAnsi="仿宋" w:eastAsia="仿宋" w:cs="仿宋"/>
          <w:b/>
          <w:kern w:val="0"/>
          <w:sz w:val="44"/>
          <w:highlight w:val="none"/>
        </w:rPr>
      </w:pPr>
    </w:p>
    <w:p w14:paraId="0AE74EE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仿宋" w:hAnsi="仿宋" w:eastAsia="仿宋" w:cs="仿宋"/>
          <w:b/>
          <w:kern w:val="0"/>
          <w:sz w:val="36"/>
          <w:highlight w:val="none"/>
          <w:u w:val="single"/>
        </w:rPr>
      </w:pPr>
      <w:r>
        <w:rPr>
          <w:rFonts w:hint="eastAsia" w:ascii="仿宋" w:hAnsi="仿宋" w:eastAsia="仿宋" w:cs="仿宋"/>
          <w:b/>
          <w:kern w:val="0"/>
          <w:sz w:val="36"/>
          <w:highlight w:val="none"/>
        </w:rPr>
        <w:t>项目名称：</w:t>
      </w:r>
      <w:r>
        <w:rPr>
          <w:rFonts w:hint="eastAsia" w:ascii="仿宋" w:hAnsi="仿宋" w:eastAsia="仿宋" w:cs="仿宋"/>
          <w:b/>
          <w:kern w:val="0"/>
          <w:sz w:val="36"/>
          <w:highlight w:val="none"/>
          <w:u w:val="single"/>
        </w:rPr>
        <w:t xml:space="preserve">                     </w:t>
      </w:r>
      <w:r>
        <w:rPr>
          <w:rFonts w:hint="eastAsia" w:ascii="仿宋" w:hAnsi="仿宋" w:eastAsia="仿宋" w:cs="仿宋"/>
          <w:b/>
          <w:kern w:val="0"/>
          <w:sz w:val="36"/>
          <w:highlight w:val="none"/>
          <w:u w:val="single"/>
          <w:lang w:val="en-US" w:eastAsia="zh-CN"/>
        </w:rPr>
        <w:t xml:space="preserve">    </w:t>
      </w:r>
      <w:r>
        <w:rPr>
          <w:rFonts w:hint="eastAsia" w:ascii="仿宋" w:hAnsi="仿宋" w:eastAsia="仿宋" w:cs="仿宋"/>
          <w:b/>
          <w:kern w:val="0"/>
          <w:sz w:val="36"/>
          <w:highlight w:val="none"/>
          <w:u w:val="single"/>
        </w:rPr>
        <w:t xml:space="preserve">         </w:t>
      </w:r>
    </w:p>
    <w:p w14:paraId="0CEAA6D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仿宋" w:hAnsi="仿宋" w:eastAsia="仿宋" w:cs="仿宋"/>
          <w:b/>
          <w:kern w:val="0"/>
          <w:sz w:val="36"/>
          <w:highlight w:val="none"/>
          <w:u w:val="single"/>
        </w:rPr>
      </w:pPr>
      <w:r>
        <w:rPr>
          <w:rFonts w:hint="eastAsia" w:ascii="仿宋" w:hAnsi="仿宋" w:eastAsia="仿宋" w:cs="仿宋"/>
          <w:b/>
          <w:kern w:val="0"/>
          <w:sz w:val="36"/>
          <w:highlight w:val="none"/>
        </w:rPr>
        <w:t>采购项目编号：</w:t>
      </w:r>
      <w:r>
        <w:rPr>
          <w:rFonts w:hint="eastAsia" w:ascii="仿宋" w:hAnsi="仿宋" w:eastAsia="仿宋" w:cs="仿宋"/>
          <w:b/>
          <w:kern w:val="0"/>
          <w:sz w:val="36"/>
          <w:highlight w:val="none"/>
          <w:u w:val="single"/>
        </w:rPr>
        <w:t xml:space="preserve">                              </w:t>
      </w:r>
    </w:p>
    <w:p w14:paraId="1557E90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
          <w:kern w:val="0"/>
          <w:szCs w:val="28"/>
          <w:highlight w:val="none"/>
          <w:u w:val="single"/>
        </w:rPr>
      </w:pPr>
      <w:r>
        <w:rPr>
          <w:rFonts w:hint="eastAsia" w:ascii="仿宋" w:hAnsi="仿宋" w:eastAsia="仿宋" w:cs="仿宋"/>
          <w:b/>
          <w:kern w:val="0"/>
          <w:sz w:val="36"/>
          <w:szCs w:val="22"/>
          <w:highlight w:val="none"/>
        </w:rPr>
        <w:t xml:space="preserve">比选申请人名称 ： </w:t>
      </w:r>
      <w:r>
        <w:rPr>
          <w:rFonts w:hint="eastAsia" w:ascii="仿宋" w:hAnsi="仿宋" w:eastAsia="仿宋" w:cs="仿宋"/>
          <w:b/>
          <w:kern w:val="0"/>
          <w:szCs w:val="28"/>
          <w:highlight w:val="none"/>
          <w:u w:val="single"/>
        </w:rPr>
        <w:t xml:space="preserve">            </w:t>
      </w:r>
      <w:r>
        <w:rPr>
          <w:rFonts w:hint="eastAsia" w:ascii="仿宋" w:hAnsi="仿宋" w:eastAsia="仿宋" w:cs="仿宋"/>
          <w:b/>
          <w:kern w:val="0"/>
          <w:szCs w:val="28"/>
          <w:highlight w:val="none"/>
          <w:u w:val="single"/>
          <w:lang w:val="en-US" w:eastAsia="zh-CN"/>
        </w:rPr>
        <w:t xml:space="preserve">   </w:t>
      </w:r>
      <w:r>
        <w:rPr>
          <w:rFonts w:hint="eastAsia" w:ascii="仿宋" w:hAnsi="仿宋" w:eastAsia="仿宋" w:cs="仿宋"/>
          <w:b/>
          <w:kern w:val="0"/>
          <w:szCs w:val="28"/>
          <w:highlight w:val="none"/>
          <w:u w:val="single"/>
        </w:rPr>
        <w:t xml:space="preserve">                   </w:t>
      </w:r>
    </w:p>
    <w:p w14:paraId="5184D17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
          <w:kern w:val="0"/>
          <w:sz w:val="36"/>
          <w:szCs w:val="22"/>
          <w:highlight w:val="none"/>
          <w:lang w:val="en-US" w:eastAsia="zh-CN"/>
        </w:rPr>
      </w:pPr>
      <w:r>
        <w:rPr>
          <w:rFonts w:hint="eastAsia" w:ascii="仿宋" w:hAnsi="仿宋" w:eastAsia="仿宋" w:cs="仿宋"/>
          <w:b/>
          <w:kern w:val="0"/>
          <w:sz w:val="36"/>
          <w:szCs w:val="22"/>
          <w:highlight w:val="none"/>
          <w:lang w:val="en-US" w:eastAsia="zh-CN"/>
        </w:rPr>
        <w:t>联系人：</w:t>
      </w:r>
      <w:r>
        <w:rPr>
          <w:rFonts w:hint="eastAsia" w:ascii="仿宋" w:hAnsi="仿宋" w:eastAsia="仿宋" w:cs="仿宋"/>
          <w:b/>
          <w:kern w:val="0"/>
          <w:sz w:val="36"/>
          <w:szCs w:val="22"/>
          <w:highlight w:val="none"/>
        </w:rPr>
        <w:t xml:space="preserve"> </w:t>
      </w:r>
      <w:r>
        <w:rPr>
          <w:rFonts w:hint="eastAsia" w:ascii="仿宋" w:hAnsi="仿宋" w:eastAsia="仿宋" w:cs="仿宋"/>
          <w:b/>
          <w:kern w:val="0"/>
          <w:szCs w:val="28"/>
          <w:highlight w:val="none"/>
          <w:u w:val="single"/>
        </w:rPr>
        <w:t xml:space="preserve">               </w:t>
      </w:r>
      <w:r>
        <w:rPr>
          <w:rFonts w:hint="eastAsia" w:ascii="仿宋" w:hAnsi="仿宋" w:eastAsia="仿宋" w:cs="仿宋"/>
          <w:b/>
          <w:kern w:val="0"/>
          <w:szCs w:val="28"/>
          <w:highlight w:val="none"/>
          <w:u w:val="single"/>
          <w:lang w:val="en-US" w:eastAsia="zh-CN"/>
        </w:rPr>
        <w:t xml:space="preserve">              </w:t>
      </w:r>
      <w:r>
        <w:rPr>
          <w:rFonts w:hint="eastAsia" w:ascii="仿宋" w:hAnsi="仿宋" w:eastAsia="仿宋" w:cs="仿宋"/>
          <w:b/>
          <w:kern w:val="0"/>
          <w:szCs w:val="28"/>
          <w:highlight w:val="none"/>
          <w:u w:val="single"/>
        </w:rPr>
        <w:t xml:space="preserve">                </w:t>
      </w:r>
    </w:p>
    <w:p w14:paraId="47C27E4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仿宋" w:hAnsi="仿宋" w:eastAsia="仿宋" w:cs="仿宋"/>
          <w:b/>
          <w:kern w:val="0"/>
          <w:sz w:val="36"/>
          <w:szCs w:val="22"/>
          <w:highlight w:val="none"/>
          <w:lang w:val="en-US" w:eastAsia="zh-CN"/>
        </w:rPr>
      </w:pPr>
      <w:r>
        <w:rPr>
          <w:rFonts w:hint="eastAsia" w:ascii="仿宋" w:hAnsi="仿宋" w:eastAsia="仿宋" w:cs="仿宋"/>
          <w:b/>
          <w:kern w:val="0"/>
          <w:sz w:val="36"/>
          <w:szCs w:val="22"/>
          <w:highlight w:val="none"/>
          <w:lang w:val="en-US" w:eastAsia="zh-CN"/>
        </w:rPr>
        <w:t>联系电话：</w:t>
      </w:r>
      <w:r>
        <w:rPr>
          <w:rFonts w:hint="eastAsia" w:ascii="仿宋" w:hAnsi="仿宋" w:eastAsia="仿宋" w:cs="仿宋"/>
          <w:b/>
          <w:kern w:val="0"/>
          <w:sz w:val="36"/>
          <w:szCs w:val="22"/>
          <w:highlight w:val="none"/>
        </w:rPr>
        <w:t xml:space="preserve"> </w:t>
      </w:r>
      <w:r>
        <w:rPr>
          <w:rFonts w:hint="eastAsia" w:ascii="仿宋" w:hAnsi="仿宋" w:eastAsia="仿宋" w:cs="仿宋"/>
          <w:b/>
          <w:kern w:val="0"/>
          <w:szCs w:val="28"/>
          <w:highlight w:val="none"/>
          <w:u w:val="single"/>
        </w:rPr>
        <w:t xml:space="preserve">                 </w:t>
      </w:r>
      <w:r>
        <w:rPr>
          <w:rFonts w:hint="eastAsia" w:ascii="仿宋" w:hAnsi="仿宋" w:eastAsia="仿宋" w:cs="仿宋"/>
          <w:b/>
          <w:kern w:val="0"/>
          <w:szCs w:val="28"/>
          <w:highlight w:val="none"/>
          <w:u w:val="single"/>
          <w:lang w:val="en-US" w:eastAsia="zh-CN"/>
        </w:rPr>
        <w:t xml:space="preserve">           </w:t>
      </w:r>
      <w:r>
        <w:rPr>
          <w:rFonts w:hint="eastAsia" w:ascii="仿宋" w:hAnsi="仿宋" w:eastAsia="仿宋" w:cs="仿宋"/>
          <w:b/>
          <w:kern w:val="0"/>
          <w:szCs w:val="28"/>
          <w:highlight w:val="none"/>
          <w:u w:val="single"/>
        </w:rPr>
        <w:t xml:space="preserve">              </w:t>
      </w:r>
    </w:p>
    <w:p w14:paraId="1D919111">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仿宋" w:hAnsi="仿宋" w:eastAsia="仿宋" w:cs="仿宋"/>
          <w:b/>
          <w:kern w:val="0"/>
          <w:szCs w:val="28"/>
          <w:highlight w:val="none"/>
        </w:rPr>
      </w:pPr>
      <w:r>
        <w:rPr>
          <w:rFonts w:hint="eastAsia" w:ascii="仿宋" w:hAnsi="仿宋" w:eastAsia="仿宋" w:cs="仿宋"/>
          <w:b/>
          <w:kern w:val="0"/>
          <w:szCs w:val="28"/>
          <w:highlight w:val="none"/>
        </w:rPr>
        <w:t>日期 ：202</w:t>
      </w:r>
      <w:r>
        <w:rPr>
          <w:rFonts w:hint="eastAsia" w:ascii="仿宋" w:hAnsi="仿宋" w:eastAsia="仿宋" w:cs="仿宋"/>
          <w:b/>
          <w:kern w:val="0"/>
          <w:szCs w:val="28"/>
          <w:highlight w:val="none"/>
          <w:lang w:val="en-US" w:eastAsia="zh-CN"/>
        </w:rPr>
        <w:t>6</w:t>
      </w:r>
      <w:r>
        <w:rPr>
          <w:rFonts w:hint="eastAsia" w:ascii="仿宋" w:hAnsi="仿宋" w:eastAsia="仿宋" w:cs="仿宋"/>
          <w:b/>
          <w:kern w:val="0"/>
          <w:szCs w:val="28"/>
          <w:highlight w:val="none"/>
        </w:rPr>
        <w:t>年</w:t>
      </w:r>
      <w:r>
        <w:rPr>
          <w:rFonts w:hint="eastAsia" w:ascii="仿宋" w:hAnsi="仿宋" w:eastAsia="仿宋" w:cs="仿宋"/>
          <w:b/>
          <w:kern w:val="0"/>
          <w:szCs w:val="28"/>
          <w:highlight w:val="none"/>
          <w:u w:val="single"/>
        </w:rPr>
        <w:t xml:space="preserve">   </w:t>
      </w:r>
      <w:r>
        <w:rPr>
          <w:rFonts w:hint="eastAsia" w:ascii="仿宋" w:hAnsi="仿宋" w:eastAsia="仿宋" w:cs="仿宋"/>
          <w:b/>
          <w:kern w:val="0"/>
          <w:szCs w:val="28"/>
          <w:highlight w:val="none"/>
        </w:rPr>
        <w:t>月</w:t>
      </w:r>
      <w:r>
        <w:rPr>
          <w:rFonts w:hint="eastAsia" w:ascii="仿宋" w:hAnsi="仿宋" w:eastAsia="仿宋" w:cs="仿宋"/>
          <w:b/>
          <w:kern w:val="0"/>
          <w:szCs w:val="28"/>
          <w:highlight w:val="none"/>
          <w:u w:val="single"/>
        </w:rPr>
        <w:t xml:space="preserve">   </w:t>
      </w:r>
      <w:r>
        <w:rPr>
          <w:rFonts w:hint="eastAsia" w:ascii="仿宋" w:hAnsi="仿宋" w:eastAsia="仿宋" w:cs="仿宋"/>
          <w:b/>
          <w:kern w:val="0"/>
          <w:szCs w:val="28"/>
          <w:highlight w:val="none"/>
        </w:rPr>
        <w:t>日</w:t>
      </w:r>
      <w:r>
        <w:rPr>
          <w:rFonts w:hint="eastAsia" w:ascii="仿宋" w:hAnsi="仿宋" w:eastAsia="仿宋" w:cs="仿宋"/>
          <w:b/>
          <w:kern w:val="0"/>
          <w:szCs w:val="28"/>
          <w:highlight w:val="none"/>
        </w:rPr>
        <w:br w:type="page"/>
      </w:r>
    </w:p>
    <w:p w14:paraId="7B24FDE7">
      <w:pPr>
        <w:widowControl/>
        <w:jc w:val="left"/>
        <w:rPr>
          <w:rFonts w:ascii="仿宋" w:hAnsi="仿宋" w:eastAsia="仿宋" w:cs="仿宋"/>
          <w:b/>
          <w:sz w:val="32"/>
          <w:szCs w:val="32"/>
          <w:highlight w:val="none"/>
        </w:rPr>
      </w:pPr>
    </w:p>
    <w:p w14:paraId="65BCBC03">
      <w:pPr>
        <w:pStyle w:val="3"/>
        <w:ind w:firstLine="643"/>
        <w:jc w:val="center"/>
        <w:rPr>
          <w:rFonts w:ascii="仿宋" w:hAnsi="仿宋" w:eastAsia="仿宋" w:cs="仿宋"/>
          <w:sz w:val="32"/>
          <w:szCs w:val="32"/>
          <w:highlight w:val="none"/>
        </w:rPr>
      </w:pPr>
      <w:r>
        <w:rPr>
          <w:rFonts w:hint="eastAsia" w:ascii="仿宋" w:hAnsi="仿宋" w:eastAsia="仿宋" w:cs="仿宋"/>
          <w:sz w:val="32"/>
          <w:szCs w:val="32"/>
          <w:highlight w:val="none"/>
        </w:rPr>
        <w:t>二、响应函</w:t>
      </w:r>
      <w:bookmarkEnd w:id="17"/>
    </w:p>
    <w:p w14:paraId="2A8A0DA2">
      <w:pPr>
        <w:widowControl/>
        <w:spacing w:line="360" w:lineRule="auto"/>
        <w:jc w:val="left"/>
        <w:rPr>
          <w:rFonts w:ascii="仿宋" w:hAnsi="仿宋" w:eastAsia="仿宋" w:cs="仿宋"/>
          <w:sz w:val="24"/>
          <w:szCs w:val="24"/>
          <w:highlight w:val="none"/>
        </w:rPr>
      </w:pPr>
      <w:r>
        <w:rPr>
          <w:rFonts w:hint="eastAsia" w:ascii="仿宋" w:hAnsi="仿宋" w:eastAsia="仿宋" w:cs="仿宋"/>
          <w:sz w:val="24"/>
          <w:szCs w:val="24"/>
          <w:highlight w:val="none"/>
        </w:rPr>
        <w:t>致：四川商务职业学院</w:t>
      </w:r>
    </w:p>
    <w:p w14:paraId="0E45021A">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根据贵方</w:t>
      </w:r>
      <w:r>
        <w:rPr>
          <w:rFonts w:hint="eastAsia" w:ascii="仿宋" w:hAnsi="仿宋" w:eastAsia="仿宋" w:cs="仿宋"/>
          <w:sz w:val="24"/>
          <w:szCs w:val="24"/>
          <w:highlight w:val="none"/>
          <w:u w:val="single"/>
        </w:rPr>
        <w:t xml:space="preserve">   （项目名称）  （采购项目编号：</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，正式授权下述签字人</w:t>
      </w:r>
      <w:r>
        <w:rPr>
          <w:rFonts w:hint="eastAsia" w:ascii="仿宋" w:hAnsi="仿宋" w:eastAsia="仿宋" w:cs="仿宋"/>
          <w:sz w:val="24"/>
          <w:szCs w:val="24"/>
          <w:highlight w:val="none"/>
          <w:u w:val="single"/>
        </w:rPr>
        <w:t xml:space="preserve">   （姓名和职务）    </w:t>
      </w:r>
      <w:r>
        <w:rPr>
          <w:rFonts w:hint="eastAsia" w:ascii="仿宋" w:hAnsi="仿宋" w:eastAsia="仿宋" w:cs="仿宋"/>
          <w:sz w:val="24"/>
          <w:szCs w:val="24"/>
          <w:highlight w:val="none"/>
        </w:rPr>
        <w:t>全权代表</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 xml:space="preserve">（比选申请人全称） </w:t>
      </w:r>
      <w:r>
        <w:rPr>
          <w:rFonts w:hint="eastAsia" w:ascii="仿宋" w:hAnsi="仿宋" w:eastAsia="仿宋" w:cs="仿宋"/>
          <w:sz w:val="24"/>
          <w:szCs w:val="24"/>
          <w:highlight w:val="none"/>
        </w:rPr>
        <w:t>参加贵方组织的有关采购活动，并郑重承诺：</w:t>
      </w:r>
    </w:p>
    <w:p w14:paraId="36121DB6">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1、我方自愿按照比选文件规定的各项要求向采购人提供所需服务。</w:t>
      </w:r>
    </w:p>
    <w:p w14:paraId="23148FCA">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2、我方同意在比选须知规定的提交响应文件截止日期起遵循本比选文件，并在规定的响应文件有效期满之前均具有约束力，并有可能成交。</w:t>
      </w:r>
    </w:p>
    <w:p w14:paraId="6B2DA265">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3、我方根据比选文件的规定，承担完成合同的责任和义务。</w:t>
      </w:r>
    </w:p>
    <w:p w14:paraId="3B2444BF">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4、我方已详细审核比选文件，我方知道必须放弃提出含糊不清或误解问题的权利。</w:t>
      </w:r>
    </w:p>
    <w:p w14:paraId="5557C0AC">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5、如果在响应文件有效期内撤回响应或者有其他违约行为，我方的响应保证金可被贵方全部不予退还。</w:t>
      </w:r>
    </w:p>
    <w:p w14:paraId="550BE76F">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6、同意应贵方要求提供与本比选采购有关的任何数据或资料。</w:t>
      </w:r>
    </w:p>
    <w:p w14:paraId="0F7E1DE4">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7、我方完全理解贵方不一定要接受最低报价的比选申请人为中选人的行为。</w:t>
      </w:r>
    </w:p>
    <w:p w14:paraId="17979444">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8、若贵方需要，我方愿意提供我方作出的一切承诺的证明材料。</w:t>
      </w:r>
    </w:p>
    <w:p w14:paraId="0B5040DB">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9、比选有效期为递交响应文件截止时间届满后</w:t>
      </w:r>
      <w:r>
        <w:rPr>
          <w:rFonts w:hint="eastAsia" w:ascii="仿宋" w:hAnsi="仿宋" w:eastAsia="仿宋" w:cs="仿宋"/>
          <w:sz w:val="24"/>
          <w:szCs w:val="24"/>
          <w:highlight w:val="none"/>
          <w:u w:val="single"/>
        </w:rPr>
        <w:t>60</w:t>
      </w:r>
      <w:r>
        <w:rPr>
          <w:rFonts w:hint="eastAsia" w:ascii="仿宋" w:hAnsi="仿宋" w:eastAsia="仿宋" w:cs="仿宋"/>
          <w:sz w:val="24"/>
          <w:szCs w:val="24"/>
          <w:highlight w:val="none"/>
        </w:rPr>
        <w:t xml:space="preserve">天。 </w:t>
      </w:r>
    </w:p>
    <w:p w14:paraId="53C05CB0">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比选申请人名称（公章）：</w:t>
      </w:r>
    </w:p>
    <w:p w14:paraId="2ED77359">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地址：       电话：       传真：</w:t>
      </w:r>
    </w:p>
    <w:p w14:paraId="5E053C5C">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 xml:space="preserve">法定代表人或其委托代理人（签字或加盖个人名章）： </w:t>
      </w:r>
    </w:p>
    <w:p w14:paraId="2EF705CA">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响应日期：</w:t>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年 </w:t>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月 </w:t>
      </w:r>
      <w:r>
        <w:rPr>
          <w:rFonts w:hint="eastAsia" w:ascii="仿宋" w:hAnsi="仿宋" w:eastAsia="仿宋" w:cs="仿宋"/>
          <w:sz w:val="24"/>
          <w:szCs w:val="24"/>
          <w:highlight w:val="none"/>
        </w:rPr>
        <w:tab/>
      </w:r>
      <w:r>
        <w:rPr>
          <w:rFonts w:hint="eastAsia" w:ascii="仿宋" w:hAnsi="仿宋" w:eastAsia="仿宋" w:cs="仿宋"/>
          <w:sz w:val="24"/>
          <w:szCs w:val="24"/>
          <w:highlight w:val="none"/>
        </w:rPr>
        <w:t>日</w:t>
      </w:r>
    </w:p>
    <w:p w14:paraId="66CAC791">
      <w:pPr>
        <w:widowControl/>
        <w:jc w:val="left"/>
        <w:rPr>
          <w:rFonts w:ascii="仿宋" w:hAnsi="仿宋" w:eastAsia="仿宋" w:cs="仿宋"/>
          <w:highlight w:val="none"/>
        </w:rPr>
      </w:pPr>
      <w:bookmarkStart w:id="22" w:name="_Toc497923231"/>
      <w:r>
        <w:rPr>
          <w:rFonts w:hint="eastAsia" w:ascii="仿宋" w:hAnsi="仿宋" w:eastAsia="仿宋" w:cs="仿宋"/>
          <w:highlight w:val="none"/>
        </w:rPr>
        <w:br w:type="page"/>
      </w:r>
    </w:p>
    <w:p w14:paraId="266DB372">
      <w:pPr>
        <w:pStyle w:val="3"/>
        <w:ind w:firstLine="643"/>
        <w:jc w:val="center"/>
        <w:rPr>
          <w:rFonts w:ascii="仿宋" w:hAnsi="仿宋" w:eastAsia="仿宋" w:cs="仿宋"/>
          <w:sz w:val="32"/>
          <w:szCs w:val="32"/>
          <w:highlight w:val="none"/>
        </w:rPr>
      </w:pPr>
      <w:bookmarkStart w:id="23" w:name="_Toc497923239"/>
      <w:r>
        <w:rPr>
          <w:rFonts w:hint="eastAsia" w:ascii="仿宋" w:hAnsi="仿宋" w:eastAsia="仿宋" w:cs="仿宋"/>
          <w:sz w:val="32"/>
          <w:szCs w:val="32"/>
          <w:highlight w:val="none"/>
        </w:rPr>
        <w:t>三、承诺函</w:t>
      </w:r>
      <w:bookmarkEnd w:id="23"/>
    </w:p>
    <w:p w14:paraId="56704742">
      <w:pPr>
        <w:widowControl/>
        <w:spacing w:line="360" w:lineRule="auto"/>
        <w:jc w:val="left"/>
        <w:rPr>
          <w:rFonts w:ascii="仿宋" w:hAnsi="仿宋" w:eastAsia="仿宋" w:cs="仿宋"/>
          <w:sz w:val="24"/>
          <w:szCs w:val="24"/>
          <w:highlight w:val="none"/>
          <w:u w:val="single"/>
        </w:rPr>
      </w:pPr>
      <w:r>
        <w:rPr>
          <w:rFonts w:hint="eastAsia" w:ascii="仿宋" w:hAnsi="仿宋" w:eastAsia="仿宋" w:cs="仿宋"/>
          <w:sz w:val="24"/>
          <w:szCs w:val="24"/>
          <w:highlight w:val="none"/>
        </w:rPr>
        <w:t>致：四川商务职业学院</w:t>
      </w:r>
    </w:p>
    <w:p w14:paraId="61D30D1C">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 xml:space="preserve">我公司作为本次采购项目的比选申请人，根据比选文件要求，现郑重承诺如下： </w:t>
      </w:r>
    </w:p>
    <w:p w14:paraId="7450B195">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一、具备本项目规定的比选申请人资格条件：</w:t>
      </w:r>
    </w:p>
    <w:p w14:paraId="6EC6A1AC">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1.具有独立承担民事责任的能力；</w:t>
      </w:r>
    </w:p>
    <w:p w14:paraId="31A53A5C">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2.具有良好的商业信誉和健全的财务会计制度；</w:t>
      </w:r>
    </w:p>
    <w:p w14:paraId="5B3D64F1">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3.具有履行合同所必须的设备和专业技术能力；</w:t>
      </w:r>
    </w:p>
    <w:p w14:paraId="6AB27FF5">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4.具有依法缴纳税收和社会保障资金的良好记录；</w:t>
      </w:r>
    </w:p>
    <w:p w14:paraId="606EE300">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5.参加本次采购活动前三年内，在经营活动中没有重大违法记录；</w:t>
      </w:r>
    </w:p>
    <w:p w14:paraId="62B08698">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6.法律、行政法规规定的其他条件。</w:t>
      </w:r>
    </w:p>
    <w:p w14:paraId="538EF28D">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7.本项目参加采购活动的比选申请人、法定代表人、主要负责人近三年内不得具有行贿犯罪记录；</w:t>
      </w:r>
    </w:p>
    <w:p w14:paraId="45AA6149">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8.供应商未被列入失信被执行人、重大税收违法案件当事人名单、政府采购严重违法失信行为记录名单；</w:t>
      </w:r>
    </w:p>
    <w:p w14:paraId="0E3CBB3A">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二、完全接受和满足本项目比选文件中规定的实质性要求，如对比选文件有异议，已经在比选截止时间届满前依法进行维权救济，不存在对比选文件有异议的同时又参加比选以求侥幸中标或者为实现其他非法目的的行为。</w:t>
      </w:r>
    </w:p>
    <w:p w14:paraId="275068EA">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三、响应文件中提供的能够给予我公司带来优惠、好处的任何材料资料和技术、服务、商务等响应承诺情况都是真实的、有效的、合法的。</w:t>
      </w:r>
    </w:p>
    <w:p w14:paraId="72EA0BCF">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本公司对上述承诺的内容事项真实性负责。如经查实上述承诺的内容事项存在虚假。</w:t>
      </w:r>
    </w:p>
    <w:p w14:paraId="1D105A78">
      <w:pPr>
        <w:widowControl/>
        <w:spacing w:line="360" w:lineRule="auto"/>
        <w:ind w:firstLine="480" w:firstLineChars="200"/>
        <w:jc w:val="left"/>
        <w:rPr>
          <w:rFonts w:ascii="仿宋" w:hAnsi="仿宋" w:eastAsia="仿宋" w:cs="仿宋"/>
          <w:sz w:val="24"/>
          <w:szCs w:val="24"/>
          <w:highlight w:val="none"/>
        </w:rPr>
      </w:pPr>
    </w:p>
    <w:p w14:paraId="6A3C324B">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我公司愿意接受以提供虚假材料谋取中标追究法律责任。</w:t>
      </w:r>
    </w:p>
    <w:p w14:paraId="6AF561CD">
      <w:pPr>
        <w:widowControl/>
        <w:spacing w:line="360" w:lineRule="auto"/>
        <w:ind w:firstLine="480" w:firstLineChars="200"/>
        <w:jc w:val="left"/>
        <w:rPr>
          <w:rFonts w:ascii="仿宋" w:hAnsi="仿宋" w:eastAsia="仿宋" w:cs="仿宋"/>
          <w:sz w:val="24"/>
          <w:szCs w:val="24"/>
          <w:highlight w:val="none"/>
        </w:rPr>
      </w:pPr>
    </w:p>
    <w:p w14:paraId="3E49034C">
      <w:pPr>
        <w:widowControl/>
        <w:spacing w:line="360" w:lineRule="auto"/>
        <w:ind w:firstLine="480" w:firstLineChars="200"/>
        <w:jc w:val="left"/>
        <w:rPr>
          <w:rFonts w:ascii="仿宋" w:hAnsi="仿宋" w:eastAsia="仿宋" w:cs="仿宋"/>
          <w:sz w:val="24"/>
          <w:szCs w:val="24"/>
          <w:highlight w:val="none"/>
        </w:rPr>
      </w:pPr>
    </w:p>
    <w:p w14:paraId="4D14995B">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 xml:space="preserve">比选申请人名称 （盖章）： </w:t>
      </w:r>
    </w:p>
    <w:p w14:paraId="6F76BD98">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法定代表人或授权代表（签字或加盖个人名章）：</w:t>
      </w:r>
    </w:p>
    <w:p w14:paraId="09772415">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响应日期：</w:t>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年 </w:t>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月 </w:t>
      </w:r>
      <w:r>
        <w:rPr>
          <w:rFonts w:hint="eastAsia" w:ascii="仿宋" w:hAnsi="仿宋" w:eastAsia="仿宋" w:cs="仿宋"/>
          <w:sz w:val="24"/>
          <w:szCs w:val="24"/>
          <w:highlight w:val="none"/>
        </w:rPr>
        <w:tab/>
      </w:r>
      <w:r>
        <w:rPr>
          <w:rFonts w:hint="eastAsia" w:ascii="仿宋" w:hAnsi="仿宋" w:eastAsia="仿宋" w:cs="仿宋"/>
          <w:sz w:val="24"/>
          <w:szCs w:val="24"/>
          <w:highlight w:val="none"/>
        </w:rPr>
        <w:t>日</w:t>
      </w:r>
    </w:p>
    <w:bookmarkEnd w:id="22"/>
    <w:p w14:paraId="591C6902">
      <w:pPr>
        <w:pStyle w:val="3"/>
        <w:spacing w:line="240" w:lineRule="auto"/>
        <w:ind w:firstLine="0" w:firstLineChars="0"/>
        <w:jc w:val="center"/>
        <w:rPr>
          <w:rFonts w:ascii="仿宋" w:hAnsi="仿宋" w:eastAsia="仿宋" w:cs="仿宋"/>
          <w:sz w:val="32"/>
          <w:szCs w:val="32"/>
          <w:highlight w:val="none"/>
        </w:rPr>
      </w:pPr>
      <w:bookmarkStart w:id="24" w:name="_Toc497923232"/>
      <w:r>
        <w:rPr>
          <w:rFonts w:hint="eastAsia" w:ascii="仿宋" w:hAnsi="仿宋" w:eastAsia="仿宋" w:cs="仿宋"/>
          <w:sz w:val="32"/>
          <w:szCs w:val="32"/>
          <w:highlight w:val="none"/>
        </w:rPr>
        <w:t>四、法定代表人身份证明</w:t>
      </w:r>
      <w:bookmarkEnd w:id="24"/>
    </w:p>
    <w:p w14:paraId="1E0CF557">
      <w:pPr>
        <w:widowControl/>
        <w:ind w:firstLine="480" w:firstLineChars="200"/>
        <w:jc w:val="left"/>
        <w:rPr>
          <w:rFonts w:ascii="仿宋" w:hAnsi="仿宋" w:eastAsia="仿宋" w:cs="仿宋"/>
          <w:sz w:val="24"/>
          <w:szCs w:val="24"/>
          <w:highlight w:val="none"/>
        </w:rPr>
      </w:pPr>
    </w:p>
    <w:p w14:paraId="508CDC29">
      <w:pPr>
        <w:widowControl/>
        <w:jc w:val="left"/>
        <w:rPr>
          <w:rFonts w:ascii="仿宋" w:hAnsi="仿宋" w:eastAsia="仿宋" w:cs="仿宋"/>
          <w:sz w:val="24"/>
          <w:szCs w:val="24"/>
          <w:highlight w:val="none"/>
        </w:rPr>
      </w:pPr>
      <w:r>
        <w:rPr>
          <w:rFonts w:hint="eastAsia" w:ascii="仿宋" w:hAnsi="仿宋" w:eastAsia="仿宋" w:cs="仿宋"/>
          <w:sz w:val="24"/>
          <w:szCs w:val="24"/>
          <w:highlight w:val="none"/>
        </w:rPr>
        <w:t>致：四川商务职业学院</w:t>
      </w:r>
    </w:p>
    <w:p w14:paraId="419C9A0F">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（法定代表人姓名）</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在</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（比选申请人名称）</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处任</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（职务名称）</w:t>
      </w:r>
    </w:p>
    <w:p w14:paraId="7806FF3C">
      <w:pPr>
        <w:widowControl/>
        <w:spacing w:line="360" w:lineRule="auto"/>
        <w:ind w:firstLine="480" w:firstLineChars="200"/>
        <w:jc w:val="left"/>
        <w:rPr>
          <w:rFonts w:ascii="仿宋" w:hAnsi="仿宋" w:eastAsia="仿宋" w:cs="仿宋"/>
          <w:sz w:val="24"/>
          <w:szCs w:val="24"/>
          <w:highlight w:val="none"/>
        </w:rPr>
      </w:pPr>
    </w:p>
    <w:p w14:paraId="1EB83EAB">
      <w:pPr>
        <w:widowControl/>
        <w:spacing w:line="360" w:lineRule="auto"/>
        <w:jc w:val="left"/>
        <w:rPr>
          <w:rFonts w:ascii="仿宋" w:hAnsi="仿宋" w:eastAsia="仿宋" w:cs="仿宋"/>
          <w:sz w:val="24"/>
          <w:szCs w:val="24"/>
          <w:highlight w:val="none"/>
        </w:rPr>
      </w:pPr>
      <w:r>
        <w:rPr>
          <w:rFonts w:hint="eastAsia" w:ascii="仿宋" w:hAnsi="仿宋" w:eastAsia="仿宋" w:cs="仿宋"/>
          <w:sz w:val="24"/>
          <w:szCs w:val="24"/>
          <w:highlight w:val="none"/>
        </w:rPr>
        <w:t>职务，是</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（比选申请人名称）</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的法定代表人。</w:t>
      </w:r>
    </w:p>
    <w:p w14:paraId="67113229">
      <w:pPr>
        <w:widowControl/>
        <w:spacing w:line="360" w:lineRule="auto"/>
        <w:ind w:firstLine="480" w:firstLineChars="200"/>
        <w:jc w:val="left"/>
        <w:rPr>
          <w:rFonts w:ascii="仿宋" w:hAnsi="仿宋" w:eastAsia="仿宋" w:cs="仿宋"/>
          <w:sz w:val="24"/>
          <w:szCs w:val="24"/>
          <w:highlight w:val="none"/>
        </w:rPr>
      </w:pPr>
    </w:p>
    <w:p w14:paraId="16F2E480">
      <w:pPr>
        <w:widowControl/>
        <w:spacing w:line="360" w:lineRule="auto"/>
        <w:ind w:firstLine="480" w:firstLineChars="200"/>
        <w:jc w:val="left"/>
        <w:rPr>
          <w:rFonts w:ascii="仿宋" w:hAnsi="仿宋" w:eastAsia="仿宋" w:cs="仿宋"/>
          <w:sz w:val="24"/>
          <w:szCs w:val="24"/>
          <w:highlight w:val="none"/>
        </w:rPr>
      </w:pPr>
    </w:p>
    <w:p w14:paraId="6359C1D3">
      <w:pPr>
        <w:widowControl/>
        <w:spacing w:line="360" w:lineRule="auto"/>
        <w:ind w:firstLine="480" w:firstLineChars="200"/>
        <w:jc w:val="left"/>
        <w:rPr>
          <w:rFonts w:ascii="仿宋" w:hAnsi="仿宋" w:eastAsia="仿宋" w:cs="仿宋"/>
          <w:sz w:val="24"/>
          <w:szCs w:val="24"/>
          <w:highlight w:val="none"/>
        </w:rPr>
      </w:pPr>
    </w:p>
    <w:p w14:paraId="2454AA48">
      <w:pPr>
        <w:widowControl/>
        <w:spacing w:line="360" w:lineRule="auto"/>
        <w:ind w:firstLine="480" w:firstLineChars="200"/>
        <w:jc w:val="left"/>
        <w:rPr>
          <w:rFonts w:ascii="仿宋" w:hAnsi="仿宋" w:eastAsia="仿宋" w:cs="仿宋"/>
          <w:sz w:val="24"/>
          <w:szCs w:val="24"/>
          <w:highlight w:val="none"/>
        </w:rPr>
      </w:pPr>
    </w:p>
    <w:p w14:paraId="01653FDA">
      <w:pPr>
        <w:widowControl/>
        <w:spacing w:line="360" w:lineRule="auto"/>
        <w:ind w:firstLine="480" w:firstLineChars="200"/>
        <w:jc w:val="left"/>
        <w:rPr>
          <w:rFonts w:ascii="仿宋" w:hAnsi="仿宋" w:eastAsia="仿宋" w:cs="仿宋"/>
          <w:sz w:val="24"/>
          <w:szCs w:val="24"/>
          <w:highlight w:val="none"/>
        </w:rPr>
      </w:pPr>
    </w:p>
    <w:p w14:paraId="7210369A">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特此证明。</w:t>
      </w:r>
    </w:p>
    <w:p w14:paraId="24927387">
      <w:pPr>
        <w:widowControl/>
        <w:spacing w:line="360" w:lineRule="auto"/>
        <w:ind w:firstLine="480" w:firstLineChars="200"/>
        <w:jc w:val="left"/>
        <w:rPr>
          <w:rFonts w:ascii="仿宋" w:hAnsi="仿宋" w:eastAsia="仿宋" w:cs="仿宋"/>
          <w:sz w:val="24"/>
          <w:szCs w:val="24"/>
          <w:highlight w:val="none"/>
        </w:rPr>
      </w:pPr>
    </w:p>
    <w:p w14:paraId="052FE4D9">
      <w:pPr>
        <w:widowControl/>
        <w:spacing w:line="360" w:lineRule="auto"/>
        <w:ind w:firstLine="480" w:firstLineChars="200"/>
        <w:jc w:val="left"/>
        <w:rPr>
          <w:rFonts w:ascii="仿宋" w:hAnsi="仿宋" w:eastAsia="仿宋" w:cs="仿宋"/>
          <w:sz w:val="24"/>
          <w:szCs w:val="24"/>
          <w:highlight w:val="none"/>
        </w:rPr>
      </w:pPr>
    </w:p>
    <w:p w14:paraId="03A74569">
      <w:pPr>
        <w:widowControl/>
        <w:spacing w:line="360" w:lineRule="auto"/>
        <w:ind w:firstLine="480" w:firstLineChars="200"/>
        <w:jc w:val="left"/>
        <w:rPr>
          <w:rFonts w:ascii="仿宋" w:hAnsi="仿宋" w:eastAsia="仿宋" w:cs="仿宋"/>
          <w:sz w:val="24"/>
          <w:szCs w:val="24"/>
          <w:highlight w:val="none"/>
        </w:rPr>
      </w:pPr>
    </w:p>
    <w:p w14:paraId="1BBB4E88">
      <w:pPr>
        <w:widowControl/>
        <w:spacing w:line="360" w:lineRule="auto"/>
        <w:ind w:firstLine="480" w:firstLineChars="200"/>
        <w:jc w:val="left"/>
        <w:rPr>
          <w:rFonts w:ascii="仿宋" w:hAnsi="仿宋" w:eastAsia="仿宋" w:cs="仿宋"/>
          <w:sz w:val="24"/>
          <w:szCs w:val="24"/>
          <w:highlight w:val="none"/>
        </w:rPr>
      </w:pPr>
    </w:p>
    <w:p w14:paraId="78AB9C6C">
      <w:pPr>
        <w:widowControl/>
        <w:spacing w:line="360" w:lineRule="auto"/>
        <w:ind w:firstLine="480" w:firstLineChars="200"/>
        <w:jc w:val="left"/>
        <w:rPr>
          <w:rFonts w:ascii="仿宋" w:hAnsi="仿宋" w:eastAsia="仿宋" w:cs="仿宋"/>
          <w:sz w:val="24"/>
          <w:szCs w:val="24"/>
          <w:highlight w:val="none"/>
        </w:rPr>
      </w:pPr>
    </w:p>
    <w:p w14:paraId="14CFFFA9">
      <w:pPr>
        <w:widowControl/>
        <w:spacing w:line="360" w:lineRule="auto"/>
        <w:ind w:firstLine="480" w:firstLineChars="200"/>
        <w:jc w:val="left"/>
        <w:rPr>
          <w:rFonts w:ascii="仿宋" w:hAnsi="仿宋" w:eastAsia="仿宋" w:cs="仿宋"/>
          <w:sz w:val="24"/>
          <w:szCs w:val="24"/>
          <w:highlight w:val="none"/>
        </w:rPr>
      </w:pPr>
    </w:p>
    <w:p w14:paraId="1E4233FD">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比选申请人名称：</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(加盖公章)</w:t>
      </w:r>
    </w:p>
    <w:p w14:paraId="1CDF7794">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响应日期：</w:t>
      </w:r>
      <w:r>
        <w:rPr>
          <w:rFonts w:hint="eastAsia" w:ascii="仿宋" w:hAnsi="仿宋" w:eastAsia="仿宋" w:cs="仿宋"/>
          <w:sz w:val="24"/>
          <w:szCs w:val="24"/>
          <w:highlight w:val="none"/>
        </w:rPr>
        <w:tab/>
      </w:r>
      <w:r>
        <w:rPr>
          <w:rFonts w:hint="eastAsia" w:ascii="仿宋" w:hAnsi="仿宋" w:eastAsia="仿宋" w:cs="仿宋"/>
          <w:sz w:val="24"/>
          <w:szCs w:val="24"/>
          <w:highlight w:val="none"/>
        </w:rPr>
        <w:t>年</w:t>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 月</w:t>
      </w:r>
      <w:r>
        <w:rPr>
          <w:rFonts w:hint="eastAsia" w:ascii="仿宋" w:hAnsi="仿宋" w:eastAsia="仿宋" w:cs="仿宋"/>
          <w:sz w:val="24"/>
          <w:szCs w:val="24"/>
          <w:highlight w:val="none"/>
        </w:rPr>
        <w:tab/>
      </w:r>
      <w:r>
        <w:rPr>
          <w:rFonts w:hint="eastAsia" w:ascii="仿宋" w:hAnsi="仿宋" w:eastAsia="仿宋" w:cs="仿宋"/>
          <w:sz w:val="24"/>
          <w:szCs w:val="24"/>
          <w:highlight w:val="none"/>
        </w:rPr>
        <w:t>日</w:t>
      </w:r>
    </w:p>
    <w:p w14:paraId="6652C0EC">
      <w:pPr>
        <w:widowControl/>
        <w:spacing w:line="360" w:lineRule="auto"/>
        <w:ind w:firstLine="480" w:firstLineChars="200"/>
        <w:jc w:val="left"/>
        <w:rPr>
          <w:rFonts w:ascii="仿宋" w:hAnsi="仿宋" w:eastAsia="仿宋" w:cs="仿宋"/>
          <w:sz w:val="24"/>
          <w:szCs w:val="24"/>
          <w:highlight w:val="none"/>
        </w:rPr>
      </w:pPr>
    </w:p>
    <w:p w14:paraId="6A179718">
      <w:pPr>
        <w:widowControl/>
        <w:spacing w:line="360" w:lineRule="auto"/>
        <w:ind w:firstLine="422" w:firstLineChars="200"/>
        <w:jc w:val="left"/>
        <w:rPr>
          <w:rFonts w:ascii="仿宋" w:hAnsi="仿宋" w:eastAsia="仿宋" w:cs="仿宋"/>
          <w:b/>
          <w:sz w:val="21"/>
          <w:szCs w:val="21"/>
          <w:highlight w:val="none"/>
        </w:rPr>
      </w:pPr>
      <w:r>
        <w:rPr>
          <w:rFonts w:hint="eastAsia" w:ascii="仿宋" w:hAnsi="仿宋" w:eastAsia="仿宋" w:cs="仿宋"/>
          <w:b/>
          <w:sz w:val="21"/>
          <w:szCs w:val="21"/>
          <w:highlight w:val="none"/>
        </w:rPr>
        <w:t>说明：1.上述证明文件在响应文件中附有法定代表人身份证复印件(身份证两面均应复印) 或护照复印件(比选申请人的法定代表人为外籍人士的，则提供护照复印件)时才能生效。</w:t>
      </w:r>
    </w:p>
    <w:p w14:paraId="6DC7B838">
      <w:pPr>
        <w:widowControl/>
        <w:spacing w:line="360" w:lineRule="auto"/>
        <w:ind w:firstLine="938" w:firstLineChars="445"/>
        <w:jc w:val="left"/>
        <w:rPr>
          <w:rFonts w:ascii="仿宋" w:hAnsi="仿宋" w:eastAsia="仿宋" w:cs="仿宋"/>
          <w:b/>
          <w:sz w:val="21"/>
          <w:szCs w:val="21"/>
          <w:highlight w:val="none"/>
        </w:rPr>
      </w:pPr>
      <w:r>
        <w:rPr>
          <w:rFonts w:hint="eastAsia" w:ascii="仿宋" w:hAnsi="仿宋" w:eastAsia="仿宋" w:cs="仿宋"/>
          <w:b/>
          <w:sz w:val="21"/>
          <w:szCs w:val="21"/>
          <w:highlight w:val="none"/>
        </w:rPr>
        <w:t>2.法定代表人身份证明书仅在法定代表人自己参加时适用。</w:t>
      </w:r>
    </w:p>
    <w:p w14:paraId="2BA01A7D">
      <w:pPr>
        <w:pStyle w:val="3"/>
        <w:ind w:firstLine="562"/>
        <w:jc w:val="center"/>
        <w:rPr>
          <w:rFonts w:ascii="仿宋" w:hAnsi="仿宋" w:eastAsia="仿宋" w:cs="仿宋"/>
          <w:sz w:val="32"/>
          <w:szCs w:val="32"/>
          <w:highlight w:val="none"/>
        </w:rPr>
      </w:pPr>
      <w:r>
        <w:rPr>
          <w:rFonts w:hint="eastAsia" w:ascii="仿宋" w:hAnsi="仿宋" w:eastAsia="仿宋" w:cs="仿宋"/>
          <w:szCs w:val="32"/>
          <w:highlight w:val="none"/>
        </w:rPr>
        <w:br w:type="page"/>
      </w:r>
      <w:bookmarkStart w:id="25" w:name="_Toc497923233"/>
      <w:r>
        <w:rPr>
          <w:rFonts w:hint="eastAsia" w:ascii="仿宋" w:hAnsi="仿宋" w:eastAsia="仿宋" w:cs="仿宋"/>
          <w:szCs w:val="32"/>
          <w:highlight w:val="none"/>
        </w:rPr>
        <w:t>五</w:t>
      </w:r>
      <w:r>
        <w:rPr>
          <w:rFonts w:hint="eastAsia" w:ascii="仿宋" w:hAnsi="仿宋" w:eastAsia="仿宋" w:cs="仿宋"/>
          <w:sz w:val="32"/>
          <w:szCs w:val="32"/>
          <w:highlight w:val="none"/>
        </w:rPr>
        <w:t>、法定代表人授权书</w:t>
      </w:r>
      <w:bookmarkEnd w:id="25"/>
    </w:p>
    <w:p w14:paraId="2AA08131">
      <w:pPr>
        <w:widowControl/>
        <w:spacing w:line="360" w:lineRule="auto"/>
        <w:ind w:firstLine="480" w:firstLineChars="200"/>
        <w:jc w:val="left"/>
        <w:rPr>
          <w:rFonts w:ascii="仿宋" w:hAnsi="仿宋" w:eastAsia="仿宋" w:cs="仿宋"/>
          <w:sz w:val="24"/>
          <w:szCs w:val="24"/>
          <w:highlight w:val="none"/>
        </w:rPr>
      </w:pPr>
    </w:p>
    <w:p w14:paraId="78642795">
      <w:pPr>
        <w:widowControl/>
        <w:spacing w:line="360" w:lineRule="auto"/>
        <w:jc w:val="left"/>
        <w:rPr>
          <w:rFonts w:ascii="仿宋" w:hAnsi="仿宋" w:eastAsia="仿宋" w:cs="仿宋"/>
          <w:sz w:val="24"/>
          <w:szCs w:val="24"/>
          <w:highlight w:val="none"/>
        </w:rPr>
      </w:pPr>
      <w:r>
        <w:rPr>
          <w:rFonts w:hint="eastAsia" w:ascii="仿宋" w:hAnsi="仿宋" w:eastAsia="仿宋" w:cs="仿宋"/>
          <w:sz w:val="24"/>
          <w:szCs w:val="24"/>
          <w:highlight w:val="none"/>
        </w:rPr>
        <w:t>致：四川商务职业学院</w:t>
      </w:r>
    </w:p>
    <w:p w14:paraId="5C46614D">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本授权声明：</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（比选申请人名称）</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（法定代表人姓名、职务）</w:t>
      </w:r>
      <w:r>
        <w:rPr>
          <w:rFonts w:hint="eastAsia" w:ascii="仿宋" w:hAnsi="仿宋" w:eastAsia="仿宋" w:cs="仿宋"/>
          <w:sz w:val="24"/>
          <w:szCs w:val="24"/>
          <w:highlight w:val="none"/>
        </w:rPr>
        <w:t xml:space="preserve"> 授权</w:t>
      </w:r>
      <w:r>
        <w:rPr>
          <w:rFonts w:hint="eastAsia" w:ascii="仿宋" w:hAnsi="仿宋" w:eastAsia="仿宋" w:cs="仿宋"/>
          <w:sz w:val="24"/>
          <w:szCs w:val="24"/>
          <w:highlight w:val="none"/>
        </w:rPr>
        <w:tab/>
      </w:r>
      <w:r>
        <w:rPr>
          <w:rFonts w:hint="eastAsia" w:ascii="仿宋" w:hAnsi="仿宋" w:eastAsia="仿宋" w:cs="仿宋"/>
          <w:sz w:val="24"/>
          <w:szCs w:val="24"/>
          <w:highlight w:val="none"/>
          <w:u w:val="single"/>
        </w:rPr>
        <w:t>（被授权人姓名、职务）</w:t>
      </w:r>
      <w:r>
        <w:rPr>
          <w:rFonts w:hint="eastAsia" w:ascii="仿宋" w:hAnsi="仿宋" w:eastAsia="仿宋" w:cs="仿宋"/>
          <w:sz w:val="24"/>
          <w:szCs w:val="24"/>
          <w:highlight w:val="none"/>
        </w:rPr>
        <w:t xml:space="preserve">为我方 </w:t>
      </w:r>
      <w:r>
        <w:rPr>
          <w:rFonts w:hint="eastAsia" w:ascii="仿宋" w:hAnsi="仿宋" w:eastAsia="仿宋" w:cs="仿宋"/>
          <w:sz w:val="24"/>
          <w:szCs w:val="24"/>
          <w:highlight w:val="none"/>
          <w:u w:val="single"/>
        </w:rPr>
        <w:t>“  （项目名称） ” （采购项目编号：</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比选活动的合法代表，以我方名义全权处理该项目有关比选、签订合同以及执行合同等一切事宜。授权代表在本次采购活动所签署的一切文件和处理的一切有关事宜，我公司均予承认，所产生的法律后果均由我单位承担。</w:t>
      </w:r>
    </w:p>
    <w:p w14:paraId="7C8000AA">
      <w:pPr>
        <w:widowControl/>
        <w:spacing w:line="360" w:lineRule="auto"/>
        <w:ind w:firstLine="480" w:firstLineChars="200"/>
        <w:jc w:val="left"/>
        <w:rPr>
          <w:rFonts w:ascii="仿宋" w:hAnsi="仿宋" w:eastAsia="仿宋" w:cs="仿宋"/>
          <w:sz w:val="24"/>
          <w:szCs w:val="24"/>
          <w:highlight w:val="none"/>
        </w:rPr>
      </w:pPr>
    </w:p>
    <w:p w14:paraId="4A0B04C2">
      <w:pPr>
        <w:widowControl/>
        <w:spacing w:line="360" w:lineRule="auto"/>
        <w:ind w:firstLine="480" w:firstLineChars="200"/>
        <w:jc w:val="left"/>
        <w:rPr>
          <w:rFonts w:ascii="仿宋" w:hAnsi="仿宋" w:eastAsia="仿宋" w:cs="仿宋"/>
          <w:sz w:val="24"/>
          <w:szCs w:val="24"/>
          <w:highlight w:val="none"/>
        </w:rPr>
      </w:pPr>
    </w:p>
    <w:p w14:paraId="74EBD0E8">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授权代表无转委托权。 特此声明。</w:t>
      </w:r>
    </w:p>
    <w:p w14:paraId="7F1E598C">
      <w:pPr>
        <w:widowControl/>
        <w:spacing w:line="360" w:lineRule="auto"/>
        <w:ind w:firstLine="480" w:firstLineChars="200"/>
        <w:jc w:val="left"/>
        <w:rPr>
          <w:rFonts w:ascii="仿宋" w:hAnsi="仿宋" w:eastAsia="仿宋" w:cs="仿宋"/>
          <w:sz w:val="24"/>
          <w:szCs w:val="24"/>
          <w:highlight w:val="none"/>
        </w:rPr>
      </w:pPr>
    </w:p>
    <w:p w14:paraId="60FE4E1B">
      <w:pPr>
        <w:widowControl/>
        <w:spacing w:line="360" w:lineRule="auto"/>
        <w:ind w:firstLine="480" w:firstLineChars="200"/>
        <w:jc w:val="left"/>
        <w:rPr>
          <w:rFonts w:ascii="仿宋" w:hAnsi="仿宋" w:eastAsia="仿宋" w:cs="仿宋"/>
          <w:sz w:val="24"/>
          <w:szCs w:val="24"/>
          <w:highlight w:val="none"/>
        </w:rPr>
      </w:pPr>
    </w:p>
    <w:p w14:paraId="078D2ED7">
      <w:pPr>
        <w:widowControl/>
        <w:spacing w:line="360" w:lineRule="auto"/>
        <w:ind w:firstLine="480" w:firstLineChars="200"/>
        <w:jc w:val="left"/>
        <w:rPr>
          <w:rFonts w:ascii="仿宋" w:hAnsi="仿宋" w:eastAsia="仿宋" w:cs="仿宋"/>
          <w:sz w:val="24"/>
          <w:szCs w:val="24"/>
          <w:highlight w:val="none"/>
        </w:rPr>
      </w:pPr>
    </w:p>
    <w:p w14:paraId="2132D897">
      <w:pPr>
        <w:widowControl/>
        <w:spacing w:line="360" w:lineRule="auto"/>
        <w:ind w:firstLine="480" w:firstLineChars="200"/>
        <w:jc w:val="left"/>
        <w:rPr>
          <w:rFonts w:ascii="仿宋" w:hAnsi="仿宋" w:eastAsia="仿宋" w:cs="仿宋"/>
          <w:sz w:val="24"/>
          <w:szCs w:val="24"/>
          <w:highlight w:val="none"/>
        </w:rPr>
      </w:pPr>
    </w:p>
    <w:p w14:paraId="52A836B9">
      <w:pPr>
        <w:widowControl/>
        <w:spacing w:line="360" w:lineRule="auto"/>
        <w:jc w:val="left"/>
        <w:rPr>
          <w:rFonts w:ascii="仿宋" w:hAnsi="仿宋" w:eastAsia="仿宋" w:cs="仿宋"/>
          <w:sz w:val="24"/>
          <w:szCs w:val="24"/>
          <w:highlight w:val="none"/>
        </w:rPr>
      </w:pPr>
    </w:p>
    <w:p w14:paraId="66B15D00">
      <w:pPr>
        <w:widowControl/>
        <w:spacing w:line="360" w:lineRule="auto"/>
        <w:ind w:firstLine="480" w:firstLineChars="200"/>
        <w:jc w:val="left"/>
        <w:rPr>
          <w:rFonts w:ascii="仿宋" w:hAnsi="仿宋" w:eastAsia="仿宋" w:cs="仿宋"/>
          <w:sz w:val="24"/>
          <w:szCs w:val="24"/>
          <w:highlight w:val="none"/>
        </w:rPr>
      </w:pPr>
    </w:p>
    <w:p w14:paraId="644DCF94">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比选申请人名称（公章）：</w:t>
      </w:r>
    </w:p>
    <w:p w14:paraId="3F7CFDDD">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 xml:space="preserve">法定代表人（签字或加盖个人名章）： </w:t>
      </w:r>
    </w:p>
    <w:p w14:paraId="458A8B64">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 xml:space="preserve">授权代表（签字或加盖个人名章）： </w:t>
      </w:r>
    </w:p>
    <w:p w14:paraId="2A591110">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响应日期：</w:t>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年 </w:t>
      </w:r>
      <w:r>
        <w:rPr>
          <w:rFonts w:hint="eastAsia" w:ascii="仿宋" w:hAnsi="仿宋" w:eastAsia="仿宋" w:cs="仿宋"/>
          <w:sz w:val="24"/>
          <w:szCs w:val="24"/>
          <w:highlight w:val="none"/>
        </w:rPr>
        <w:tab/>
      </w:r>
      <w:r>
        <w:rPr>
          <w:rFonts w:hint="eastAsia" w:ascii="仿宋" w:hAnsi="仿宋" w:eastAsia="仿宋" w:cs="仿宋"/>
          <w:sz w:val="24"/>
          <w:szCs w:val="24"/>
          <w:highlight w:val="none"/>
        </w:rPr>
        <w:t>月</w:t>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  日</w:t>
      </w:r>
    </w:p>
    <w:p w14:paraId="6579F048">
      <w:pPr>
        <w:widowControl/>
        <w:spacing w:line="360" w:lineRule="auto"/>
        <w:ind w:firstLine="480" w:firstLineChars="200"/>
        <w:jc w:val="left"/>
        <w:rPr>
          <w:rFonts w:ascii="仿宋" w:hAnsi="仿宋" w:eastAsia="仿宋" w:cs="仿宋"/>
          <w:sz w:val="24"/>
          <w:szCs w:val="24"/>
          <w:highlight w:val="none"/>
        </w:rPr>
      </w:pPr>
    </w:p>
    <w:p w14:paraId="6B5A80DA">
      <w:pPr>
        <w:widowControl/>
        <w:spacing w:line="360" w:lineRule="auto"/>
        <w:jc w:val="left"/>
        <w:rPr>
          <w:rFonts w:ascii="仿宋" w:hAnsi="仿宋" w:eastAsia="仿宋" w:cs="仿宋"/>
          <w:sz w:val="24"/>
          <w:szCs w:val="24"/>
          <w:highlight w:val="none"/>
        </w:rPr>
      </w:pPr>
    </w:p>
    <w:p w14:paraId="6C196056">
      <w:pPr>
        <w:widowControl/>
        <w:spacing w:line="360" w:lineRule="auto"/>
        <w:ind w:firstLine="422" w:firstLineChars="200"/>
        <w:jc w:val="left"/>
        <w:rPr>
          <w:rFonts w:ascii="仿宋" w:hAnsi="仿宋" w:eastAsia="仿宋" w:cs="仿宋"/>
          <w:b/>
          <w:sz w:val="21"/>
          <w:szCs w:val="21"/>
          <w:highlight w:val="none"/>
        </w:rPr>
      </w:pPr>
      <w:r>
        <w:rPr>
          <w:rFonts w:hint="eastAsia" w:ascii="仿宋" w:hAnsi="仿宋" w:eastAsia="仿宋" w:cs="仿宋"/>
          <w:b/>
          <w:sz w:val="21"/>
          <w:szCs w:val="21"/>
          <w:highlight w:val="none"/>
        </w:rPr>
        <w:t>说明：1、上述证明文件在响应文件中附有法定代表人、授权代表身份证复印件(身份证两 面均应复印)时才能生效。</w:t>
      </w:r>
    </w:p>
    <w:p w14:paraId="0E5774AF">
      <w:pPr>
        <w:widowControl/>
        <w:spacing w:line="360" w:lineRule="auto"/>
        <w:ind w:firstLine="1041" w:firstLineChars="494"/>
        <w:jc w:val="left"/>
        <w:rPr>
          <w:rFonts w:ascii="仿宋" w:hAnsi="仿宋" w:eastAsia="仿宋" w:cs="仿宋"/>
          <w:b/>
          <w:sz w:val="21"/>
          <w:szCs w:val="21"/>
          <w:highlight w:val="none"/>
        </w:rPr>
        <w:sectPr>
          <w:headerReference r:id="rId9" w:type="default"/>
          <w:footerReference r:id="rId10" w:type="default"/>
          <w:pgSz w:w="11907" w:h="16840"/>
          <w:pgMar w:top="1440" w:right="1797" w:bottom="1440" w:left="1797" w:header="851" w:footer="850" w:gutter="0"/>
          <w:cols w:space="720" w:num="1"/>
          <w:docGrid w:linePitch="381" w:charSpace="0"/>
        </w:sectPr>
      </w:pPr>
      <w:r>
        <w:rPr>
          <w:rFonts w:hint="eastAsia" w:ascii="仿宋" w:hAnsi="仿宋" w:eastAsia="仿宋" w:cs="仿宋"/>
          <w:b/>
          <w:sz w:val="21"/>
          <w:szCs w:val="21"/>
          <w:highlight w:val="none"/>
        </w:rPr>
        <w:t>2、非法人单位参与比选的应提供单位介绍信原件，自然人比选的应提供自然人身份证。</w:t>
      </w:r>
    </w:p>
    <w:p w14:paraId="48D7D185">
      <w:pPr>
        <w:pStyle w:val="3"/>
        <w:ind w:firstLine="0" w:firstLineChars="0"/>
        <w:jc w:val="center"/>
        <w:rPr>
          <w:rFonts w:ascii="仿宋" w:hAnsi="仿宋" w:eastAsia="仿宋" w:cs="仿宋"/>
          <w:highlight w:val="none"/>
        </w:rPr>
      </w:pPr>
      <w:r>
        <w:rPr>
          <w:rFonts w:hint="eastAsia" w:ascii="仿宋" w:hAnsi="仿宋" w:eastAsia="仿宋" w:cs="仿宋"/>
          <w:highlight w:val="none"/>
        </w:rPr>
        <w:t>六、报价表</w:t>
      </w:r>
    </w:p>
    <w:p w14:paraId="58673EA9">
      <w:pPr>
        <w:rPr>
          <w:rFonts w:ascii="仿宋" w:hAnsi="仿宋" w:eastAsia="仿宋" w:cs="仿宋"/>
          <w:highlight w:val="none"/>
        </w:rPr>
      </w:pPr>
    </w:p>
    <w:tbl>
      <w:tblPr>
        <w:tblStyle w:val="59"/>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2312"/>
        <w:gridCol w:w="5707"/>
      </w:tblGrid>
      <w:tr w14:paraId="3581CA5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327" w:hRule="atLeast"/>
          <w:jc w:val="center"/>
        </w:trPr>
        <w:tc>
          <w:tcPr>
            <w:tcW w:w="2312" w:type="dxa"/>
            <w:noWrap w:val="0"/>
            <w:vAlign w:val="center"/>
          </w:tcPr>
          <w:p w14:paraId="1C80BD18">
            <w:pPr>
              <w:rPr>
                <w:rFonts w:ascii="仿宋" w:hAnsi="仿宋" w:eastAsia="仿宋" w:cs="仿宋"/>
                <w:sz w:val="24"/>
                <w:szCs w:val="24"/>
                <w:highlight w:val="none"/>
              </w:rPr>
            </w:pPr>
            <w:r>
              <w:rPr>
                <w:rFonts w:hint="eastAsia" w:ascii="仿宋" w:hAnsi="仿宋" w:eastAsia="仿宋" w:cs="仿宋"/>
                <w:sz w:val="24"/>
                <w:szCs w:val="24"/>
                <w:highlight w:val="none"/>
              </w:rPr>
              <w:t>项目名称</w:t>
            </w:r>
          </w:p>
        </w:tc>
        <w:tc>
          <w:tcPr>
            <w:tcW w:w="5707" w:type="dxa"/>
            <w:noWrap w:val="0"/>
            <w:vAlign w:val="center"/>
          </w:tcPr>
          <w:p w14:paraId="1E7C24D2">
            <w:pPr>
              <w:jc w:val="center"/>
              <w:rPr>
                <w:rFonts w:ascii="仿宋" w:hAnsi="仿宋" w:eastAsia="仿宋" w:cs="仿宋"/>
                <w:sz w:val="24"/>
                <w:szCs w:val="24"/>
                <w:highlight w:val="none"/>
              </w:rPr>
            </w:pPr>
          </w:p>
        </w:tc>
      </w:tr>
      <w:tr w14:paraId="0017487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315" w:hRule="atLeast"/>
          <w:jc w:val="center"/>
        </w:trPr>
        <w:tc>
          <w:tcPr>
            <w:tcW w:w="2312" w:type="dxa"/>
            <w:tcBorders>
              <w:bottom w:val="single" w:color="auto" w:sz="4" w:space="0"/>
            </w:tcBorders>
            <w:noWrap w:val="0"/>
            <w:vAlign w:val="center"/>
          </w:tcPr>
          <w:p w14:paraId="3CCF9EA9">
            <w:pPr>
              <w:rPr>
                <w:rFonts w:ascii="仿宋" w:hAnsi="仿宋" w:eastAsia="仿宋" w:cs="仿宋"/>
                <w:sz w:val="24"/>
                <w:szCs w:val="24"/>
                <w:highlight w:val="none"/>
              </w:rPr>
            </w:pPr>
            <w:r>
              <w:rPr>
                <w:rFonts w:hint="eastAsia" w:ascii="仿宋" w:hAnsi="仿宋" w:eastAsia="仿宋" w:cs="仿宋"/>
                <w:sz w:val="24"/>
                <w:szCs w:val="24"/>
                <w:highlight w:val="none"/>
              </w:rPr>
              <w:t>采购项目编号</w:t>
            </w:r>
          </w:p>
        </w:tc>
        <w:tc>
          <w:tcPr>
            <w:tcW w:w="5707" w:type="dxa"/>
            <w:tcBorders>
              <w:bottom w:val="single" w:color="auto" w:sz="4" w:space="0"/>
            </w:tcBorders>
            <w:noWrap w:val="0"/>
            <w:vAlign w:val="center"/>
          </w:tcPr>
          <w:p w14:paraId="65C2F01D">
            <w:pPr>
              <w:rPr>
                <w:rFonts w:ascii="仿宋" w:hAnsi="仿宋" w:eastAsia="仿宋" w:cs="仿宋"/>
                <w:sz w:val="24"/>
                <w:szCs w:val="24"/>
                <w:highlight w:val="none"/>
              </w:rPr>
            </w:pPr>
          </w:p>
        </w:tc>
      </w:tr>
      <w:tr w14:paraId="4DCA6B6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1527" w:hRule="atLeast"/>
          <w:jc w:val="center"/>
        </w:trPr>
        <w:tc>
          <w:tcPr>
            <w:tcW w:w="2312" w:type="dxa"/>
            <w:tcBorders>
              <w:top w:val="single" w:color="auto" w:sz="4" w:space="0"/>
            </w:tcBorders>
            <w:noWrap w:val="0"/>
            <w:vAlign w:val="center"/>
          </w:tcPr>
          <w:p w14:paraId="7965DDC6">
            <w:pPr>
              <w:rPr>
                <w:rFonts w:ascii="仿宋" w:hAnsi="仿宋" w:eastAsia="仿宋" w:cs="仿宋"/>
                <w:sz w:val="24"/>
                <w:szCs w:val="24"/>
                <w:highlight w:val="none"/>
              </w:rPr>
            </w:pPr>
            <w:r>
              <w:rPr>
                <w:rFonts w:hint="eastAsia" w:ascii="仿宋" w:hAnsi="仿宋" w:eastAsia="仿宋" w:cs="仿宋"/>
                <w:sz w:val="24"/>
                <w:szCs w:val="24"/>
                <w:highlight w:val="none"/>
              </w:rPr>
              <w:t>报价</w:t>
            </w:r>
          </w:p>
        </w:tc>
        <w:tc>
          <w:tcPr>
            <w:tcW w:w="5707" w:type="dxa"/>
            <w:tcBorders>
              <w:top w:val="single" w:color="auto" w:sz="4" w:space="0"/>
            </w:tcBorders>
            <w:noWrap w:val="0"/>
            <w:vAlign w:val="center"/>
          </w:tcPr>
          <w:p w14:paraId="3193607D">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折扣率</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（大写：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tc>
      </w:tr>
    </w:tbl>
    <w:p w14:paraId="77F486FC">
      <w:pPr>
        <w:rPr>
          <w:rFonts w:ascii="仿宋" w:hAnsi="仿宋" w:eastAsia="仿宋" w:cs="仿宋"/>
          <w:sz w:val="24"/>
          <w:szCs w:val="24"/>
          <w:highlight w:val="none"/>
        </w:rPr>
      </w:pPr>
    </w:p>
    <w:p w14:paraId="17AFDC70">
      <w:pPr>
        <w:widowControl/>
        <w:snapToGrid w:val="0"/>
        <w:spacing w:line="360" w:lineRule="auto"/>
        <w:jc w:val="left"/>
        <w:textAlignment w:val="baseline"/>
        <w:rPr>
          <w:rFonts w:ascii="仿宋" w:hAnsi="仿宋" w:eastAsia="仿宋" w:cs="仿宋"/>
          <w:b/>
          <w:sz w:val="22"/>
          <w:highlight w:val="none"/>
        </w:rPr>
      </w:pPr>
    </w:p>
    <w:p w14:paraId="49AA1AA3">
      <w:pPr>
        <w:widowControl/>
        <w:snapToGrid w:val="0"/>
        <w:spacing w:line="360" w:lineRule="auto"/>
        <w:jc w:val="left"/>
        <w:textAlignment w:val="baseline"/>
        <w:rPr>
          <w:rFonts w:ascii="仿宋" w:hAnsi="仿宋" w:eastAsia="仿宋" w:cs="仿宋"/>
          <w:b/>
          <w:bCs/>
          <w:kern w:val="1"/>
          <w:sz w:val="22"/>
          <w:highlight w:val="none"/>
        </w:rPr>
      </w:pPr>
      <w:r>
        <w:rPr>
          <w:rFonts w:hint="eastAsia" w:ascii="仿宋" w:hAnsi="仿宋" w:eastAsia="仿宋" w:cs="仿宋"/>
          <w:b/>
          <w:sz w:val="22"/>
          <w:highlight w:val="none"/>
        </w:rPr>
        <w:t>注：</w:t>
      </w:r>
      <w:r>
        <w:rPr>
          <w:rFonts w:hint="eastAsia" w:ascii="仿宋" w:hAnsi="仿宋" w:eastAsia="仿宋" w:cs="仿宋"/>
          <w:b/>
          <w:bCs/>
          <w:kern w:val="1"/>
          <w:sz w:val="22"/>
          <w:highlight w:val="none"/>
        </w:rPr>
        <w:t>1. 所报价格是履行合同的最终价格，应包括人员、设备、培训、税金和保险等比选申请人完成本项目所需的一切费用，采购人不再支付任何费用；报价估算错误等引起的风险由比选申请人自行承担。</w:t>
      </w:r>
    </w:p>
    <w:p w14:paraId="3D60D738">
      <w:pPr>
        <w:spacing w:line="360" w:lineRule="auto"/>
        <w:rPr>
          <w:rFonts w:ascii="仿宋" w:hAnsi="仿宋" w:eastAsia="仿宋" w:cs="仿宋"/>
          <w:b/>
          <w:kern w:val="1"/>
          <w:highlight w:val="none"/>
        </w:rPr>
      </w:pPr>
      <w:r>
        <w:rPr>
          <w:rFonts w:hint="eastAsia" w:ascii="仿宋" w:hAnsi="仿宋" w:eastAsia="仿宋" w:cs="仿宋"/>
          <w:b/>
          <w:bCs/>
          <w:kern w:val="1"/>
          <w:sz w:val="22"/>
          <w:highlight w:val="none"/>
        </w:rPr>
        <w:t>2.“报价表”除了单独密封递交外，还应编制于其他响应文件（正副本）内，如有遗漏，将视为无效响应。</w:t>
      </w:r>
    </w:p>
    <w:p w14:paraId="789AC795">
      <w:pPr>
        <w:pStyle w:val="22"/>
        <w:rPr>
          <w:rFonts w:ascii="仿宋" w:hAnsi="仿宋" w:eastAsia="仿宋" w:cs="仿宋"/>
          <w:highlight w:val="none"/>
        </w:rPr>
      </w:pPr>
    </w:p>
    <w:p w14:paraId="1121AA0E">
      <w:pPr>
        <w:widowControl/>
        <w:spacing w:line="360" w:lineRule="auto"/>
        <w:ind w:firstLine="480" w:firstLineChars="200"/>
        <w:jc w:val="left"/>
        <w:rPr>
          <w:rFonts w:ascii="仿宋" w:hAnsi="仿宋" w:eastAsia="仿宋" w:cs="仿宋"/>
          <w:sz w:val="24"/>
          <w:szCs w:val="24"/>
          <w:highlight w:val="none"/>
        </w:rPr>
      </w:pPr>
    </w:p>
    <w:p w14:paraId="35F0B853">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 xml:space="preserve">比选申请人名称 （盖章）： </w:t>
      </w:r>
    </w:p>
    <w:p w14:paraId="0C26F107">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法定代表人或授权代表（签字或加盖个人名章）：</w:t>
      </w:r>
    </w:p>
    <w:p w14:paraId="3BAC55C2">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响应日期：</w:t>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年 </w:t>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月 </w:t>
      </w:r>
      <w:r>
        <w:rPr>
          <w:rFonts w:hint="eastAsia" w:ascii="仿宋" w:hAnsi="仿宋" w:eastAsia="仿宋" w:cs="仿宋"/>
          <w:sz w:val="24"/>
          <w:szCs w:val="24"/>
          <w:highlight w:val="none"/>
        </w:rPr>
        <w:tab/>
      </w:r>
      <w:r>
        <w:rPr>
          <w:rFonts w:hint="eastAsia" w:ascii="仿宋" w:hAnsi="仿宋" w:eastAsia="仿宋" w:cs="仿宋"/>
          <w:sz w:val="24"/>
          <w:szCs w:val="24"/>
          <w:highlight w:val="none"/>
        </w:rPr>
        <w:t>日</w:t>
      </w:r>
    </w:p>
    <w:p w14:paraId="410EFE1A">
      <w:pPr>
        <w:spacing w:line="360" w:lineRule="auto"/>
        <w:rPr>
          <w:rFonts w:ascii="仿宋" w:hAnsi="仿宋" w:eastAsia="仿宋" w:cs="仿宋"/>
          <w:kern w:val="1"/>
          <w:sz w:val="22"/>
          <w:highlight w:val="none"/>
        </w:rPr>
        <w:sectPr>
          <w:headerReference r:id="rId12" w:type="first"/>
          <w:footerReference r:id="rId14" w:type="first"/>
          <w:headerReference r:id="rId11" w:type="default"/>
          <w:footerReference r:id="rId13" w:type="default"/>
          <w:pgSz w:w="11911" w:h="16838"/>
          <w:pgMar w:top="1440" w:right="1418" w:bottom="1440" w:left="1418" w:header="851" w:footer="992" w:gutter="0"/>
          <w:cols w:space="720" w:num="1"/>
          <w:titlePg/>
        </w:sectPr>
      </w:pPr>
    </w:p>
    <w:p w14:paraId="0082AAE2">
      <w:pPr>
        <w:pStyle w:val="3"/>
        <w:ind w:firstLine="643"/>
        <w:jc w:val="center"/>
        <w:rPr>
          <w:rFonts w:ascii="仿宋" w:hAnsi="仿宋" w:eastAsia="仿宋" w:cs="仿宋"/>
          <w:sz w:val="32"/>
          <w:highlight w:val="none"/>
        </w:rPr>
      </w:pPr>
      <w:bookmarkStart w:id="26" w:name="_Toc497923235"/>
      <w:r>
        <w:rPr>
          <w:rFonts w:hint="eastAsia" w:ascii="仿宋" w:hAnsi="仿宋" w:eastAsia="仿宋" w:cs="仿宋"/>
          <w:sz w:val="32"/>
          <w:highlight w:val="none"/>
        </w:rPr>
        <w:t>七、技术、服务、商务应答/偏离表</w:t>
      </w:r>
      <w:bookmarkEnd w:id="26"/>
    </w:p>
    <w:tbl>
      <w:tblPr>
        <w:tblStyle w:val="59"/>
        <w:tblpPr w:leftFromText="180" w:rightFromText="180" w:vertAnchor="text" w:horzAnchor="margin" w:tblpY="69"/>
        <w:tblOverlap w:val="never"/>
        <w:tblW w:w="87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966"/>
        <w:gridCol w:w="2693"/>
        <w:gridCol w:w="2220"/>
      </w:tblGrid>
      <w:tr w14:paraId="08335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828" w:type="dxa"/>
            <w:noWrap w:val="0"/>
            <w:vAlign w:val="center"/>
          </w:tcPr>
          <w:p w14:paraId="075050CA">
            <w:pPr>
              <w:widowControl/>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序号</w:t>
            </w:r>
          </w:p>
        </w:tc>
        <w:tc>
          <w:tcPr>
            <w:tcW w:w="2966" w:type="dxa"/>
            <w:noWrap w:val="0"/>
            <w:vAlign w:val="center"/>
          </w:tcPr>
          <w:p w14:paraId="4F99CC19">
            <w:pPr>
              <w:widowControl/>
              <w:ind w:firstLine="98" w:firstLineChars="41"/>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比选文件商务条款</w:t>
            </w:r>
          </w:p>
        </w:tc>
        <w:tc>
          <w:tcPr>
            <w:tcW w:w="2693" w:type="dxa"/>
            <w:noWrap w:val="0"/>
            <w:vAlign w:val="center"/>
          </w:tcPr>
          <w:p w14:paraId="089529DF">
            <w:pPr>
              <w:widowControl/>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响应文件商务条款</w:t>
            </w:r>
          </w:p>
        </w:tc>
        <w:tc>
          <w:tcPr>
            <w:tcW w:w="2220" w:type="dxa"/>
            <w:noWrap w:val="0"/>
            <w:vAlign w:val="center"/>
          </w:tcPr>
          <w:p w14:paraId="1F6CA2B6">
            <w:pPr>
              <w:widowControl/>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响应/偏离</w:t>
            </w:r>
          </w:p>
        </w:tc>
      </w:tr>
      <w:tr w14:paraId="35900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noWrap w:val="0"/>
            <w:vAlign w:val="center"/>
          </w:tcPr>
          <w:p w14:paraId="4B5E52DF">
            <w:pPr>
              <w:widowControl/>
              <w:jc w:val="left"/>
              <w:rPr>
                <w:rFonts w:ascii="仿宋" w:hAnsi="仿宋" w:eastAsia="仿宋" w:cs="仿宋"/>
                <w:kern w:val="0"/>
                <w:sz w:val="24"/>
                <w:szCs w:val="24"/>
                <w:highlight w:val="none"/>
              </w:rPr>
            </w:pPr>
          </w:p>
        </w:tc>
        <w:tc>
          <w:tcPr>
            <w:tcW w:w="2966" w:type="dxa"/>
            <w:noWrap w:val="0"/>
            <w:vAlign w:val="center"/>
          </w:tcPr>
          <w:p w14:paraId="45BEFDA1">
            <w:pPr>
              <w:widowControl/>
              <w:jc w:val="left"/>
              <w:rPr>
                <w:rFonts w:ascii="仿宋" w:hAnsi="仿宋" w:eastAsia="仿宋" w:cs="仿宋"/>
                <w:kern w:val="0"/>
                <w:sz w:val="24"/>
                <w:szCs w:val="24"/>
                <w:highlight w:val="none"/>
              </w:rPr>
            </w:pPr>
          </w:p>
        </w:tc>
        <w:tc>
          <w:tcPr>
            <w:tcW w:w="2693" w:type="dxa"/>
            <w:noWrap w:val="0"/>
            <w:vAlign w:val="center"/>
          </w:tcPr>
          <w:p w14:paraId="5EC9550A">
            <w:pPr>
              <w:widowControl/>
              <w:jc w:val="left"/>
              <w:rPr>
                <w:rFonts w:ascii="仿宋" w:hAnsi="仿宋" w:eastAsia="仿宋" w:cs="仿宋"/>
                <w:kern w:val="0"/>
                <w:sz w:val="24"/>
                <w:szCs w:val="24"/>
                <w:highlight w:val="none"/>
              </w:rPr>
            </w:pPr>
          </w:p>
        </w:tc>
        <w:tc>
          <w:tcPr>
            <w:tcW w:w="2220" w:type="dxa"/>
            <w:noWrap w:val="0"/>
            <w:vAlign w:val="center"/>
          </w:tcPr>
          <w:p w14:paraId="03A98635">
            <w:pPr>
              <w:widowControl/>
              <w:jc w:val="left"/>
              <w:rPr>
                <w:rFonts w:ascii="仿宋" w:hAnsi="仿宋" w:eastAsia="仿宋" w:cs="仿宋"/>
                <w:kern w:val="0"/>
                <w:sz w:val="24"/>
                <w:szCs w:val="24"/>
                <w:highlight w:val="none"/>
              </w:rPr>
            </w:pPr>
          </w:p>
        </w:tc>
      </w:tr>
      <w:tr w14:paraId="5E5AD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noWrap w:val="0"/>
            <w:vAlign w:val="center"/>
          </w:tcPr>
          <w:p w14:paraId="0C250D9B">
            <w:pPr>
              <w:widowControl/>
              <w:jc w:val="left"/>
              <w:rPr>
                <w:rFonts w:ascii="仿宋" w:hAnsi="仿宋" w:eastAsia="仿宋" w:cs="仿宋"/>
                <w:kern w:val="0"/>
                <w:sz w:val="24"/>
                <w:szCs w:val="24"/>
                <w:highlight w:val="none"/>
              </w:rPr>
            </w:pPr>
          </w:p>
        </w:tc>
        <w:tc>
          <w:tcPr>
            <w:tcW w:w="2966" w:type="dxa"/>
            <w:noWrap w:val="0"/>
            <w:vAlign w:val="center"/>
          </w:tcPr>
          <w:p w14:paraId="4F6378C5">
            <w:pPr>
              <w:widowControl/>
              <w:jc w:val="left"/>
              <w:rPr>
                <w:rFonts w:ascii="仿宋" w:hAnsi="仿宋" w:eastAsia="仿宋" w:cs="仿宋"/>
                <w:kern w:val="0"/>
                <w:sz w:val="24"/>
                <w:szCs w:val="24"/>
                <w:highlight w:val="none"/>
              </w:rPr>
            </w:pPr>
          </w:p>
        </w:tc>
        <w:tc>
          <w:tcPr>
            <w:tcW w:w="2693" w:type="dxa"/>
            <w:noWrap w:val="0"/>
            <w:vAlign w:val="center"/>
          </w:tcPr>
          <w:p w14:paraId="57C1C566">
            <w:pPr>
              <w:widowControl/>
              <w:jc w:val="left"/>
              <w:rPr>
                <w:rFonts w:ascii="仿宋" w:hAnsi="仿宋" w:eastAsia="仿宋" w:cs="仿宋"/>
                <w:kern w:val="0"/>
                <w:sz w:val="24"/>
                <w:szCs w:val="24"/>
                <w:highlight w:val="none"/>
              </w:rPr>
            </w:pPr>
          </w:p>
        </w:tc>
        <w:tc>
          <w:tcPr>
            <w:tcW w:w="2220" w:type="dxa"/>
            <w:noWrap w:val="0"/>
            <w:vAlign w:val="center"/>
          </w:tcPr>
          <w:p w14:paraId="691B8949">
            <w:pPr>
              <w:widowControl/>
              <w:jc w:val="left"/>
              <w:rPr>
                <w:rFonts w:ascii="仿宋" w:hAnsi="仿宋" w:eastAsia="仿宋" w:cs="仿宋"/>
                <w:kern w:val="0"/>
                <w:sz w:val="24"/>
                <w:szCs w:val="24"/>
                <w:highlight w:val="none"/>
              </w:rPr>
            </w:pPr>
          </w:p>
        </w:tc>
      </w:tr>
      <w:tr w14:paraId="4D9FB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noWrap w:val="0"/>
            <w:vAlign w:val="center"/>
          </w:tcPr>
          <w:p w14:paraId="0354235F">
            <w:pPr>
              <w:widowControl/>
              <w:jc w:val="left"/>
              <w:rPr>
                <w:rFonts w:ascii="仿宋" w:hAnsi="仿宋" w:eastAsia="仿宋" w:cs="仿宋"/>
                <w:kern w:val="0"/>
                <w:sz w:val="24"/>
                <w:szCs w:val="24"/>
                <w:highlight w:val="none"/>
              </w:rPr>
            </w:pPr>
          </w:p>
        </w:tc>
        <w:tc>
          <w:tcPr>
            <w:tcW w:w="2966" w:type="dxa"/>
            <w:noWrap w:val="0"/>
            <w:vAlign w:val="center"/>
          </w:tcPr>
          <w:p w14:paraId="32399429">
            <w:pPr>
              <w:widowControl/>
              <w:jc w:val="left"/>
              <w:rPr>
                <w:rFonts w:ascii="仿宋" w:hAnsi="仿宋" w:eastAsia="仿宋" w:cs="仿宋"/>
                <w:kern w:val="0"/>
                <w:sz w:val="24"/>
                <w:szCs w:val="24"/>
                <w:highlight w:val="none"/>
              </w:rPr>
            </w:pPr>
          </w:p>
        </w:tc>
        <w:tc>
          <w:tcPr>
            <w:tcW w:w="2693" w:type="dxa"/>
            <w:noWrap w:val="0"/>
            <w:vAlign w:val="center"/>
          </w:tcPr>
          <w:p w14:paraId="2A350295">
            <w:pPr>
              <w:widowControl/>
              <w:jc w:val="left"/>
              <w:rPr>
                <w:rFonts w:ascii="仿宋" w:hAnsi="仿宋" w:eastAsia="仿宋" w:cs="仿宋"/>
                <w:kern w:val="0"/>
                <w:sz w:val="24"/>
                <w:szCs w:val="24"/>
                <w:highlight w:val="none"/>
              </w:rPr>
            </w:pPr>
          </w:p>
        </w:tc>
        <w:tc>
          <w:tcPr>
            <w:tcW w:w="2220" w:type="dxa"/>
            <w:noWrap w:val="0"/>
            <w:vAlign w:val="center"/>
          </w:tcPr>
          <w:p w14:paraId="295FBEFE">
            <w:pPr>
              <w:widowControl/>
              <w:jc w:val="left"/>
              <w:rPr>
                <w:rFonts w:ascii="仿宋" w:hAnsi="仿宋" w:eastAsia="仿宋" w:cs="仿宋"/>
                <w:kern w:val="0"/>
                <w:sz w:val="24"/>
                <w:szCs w:val="24"/>
                <w:highlight w:val="none"/>
              </w:rPr>
            </w:pPr>
          </w:p>
        </w:tc>
      </w:tr>
      <w:tr w14:paraId="7C28C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noWrap w:val="0"/>
            <w:vAlign w:val="center"/>
          </w:tcPr>
          <w:p w14:paraId="1BF00DF1">
            <w:pPr>
              <w:widowControl/>
              <w:jc w:val="left"/>
              <w:rPr>
                <w:rFonts w:ascii="仿宋" w:hAnsi="仿宋" w:eastAsia="仿宋" w:cs="仿宋"/>
                <w:kern w:val="0"/>
                <w:sz w:val="24"/>
                <w:szCs w:val="24"/>
                <w:highlight w:val="none"/>
              </w:rPr>
            </w:pPr>
          </w:p>
        </w:tc>
        <w:tc>
          <w:tcPr>
            <w:tcW w:w="2966" w:type="dxa"/>
            <w:noWrap w:val="0"/>
            <w:vAlign w:val="center"/>
          </w:tcPr>
          <w:p w14:paraId="7DF1EE4C">
            <w:pPr>
              <w:widowControl/>
              <w:jc w:val="left"/>
              <w:rPr>
                <w:rFonts w:ascii="仿宋" w:hAnsi="仿宋" w:eastAsia="仿宋" w:cs="仿宋"/>
                <w:kern w:val="0"/>
                <w:sz w:val="24"/>
                <w:szCs w:val="24"/>
                <w:highlight w:val="none"/>
              </w:rPr>
            </w:pPr>
          </w:p>
        </w:tc>
        <w:tc>
          <w:tcPr>
            <w:tcW w:w="2693" w:type="dxa"/>
            <w:noWrap w:val="0"/>
            <w:vAlign w:val="center"/>
          </w:tcPr>
          <w:p w14:paraId="07473599">
            <w:pPr>
              <w:widowControl/>
              <w:jc w:val="left"/>
              <w:rPr>
                <w:rFonts w:ascii="仿宋" w:hAnsi="仿宋" w:eastAsia="仿宋" w:cs="仿宋"/>
                <w:kern w:val="0"/>
                <w:sz w:val="24"/>
                <w:szCs w:val="24"/>
                <w:highlight w:val="none"/>
              </w:rPr>
            </w:pPr>
          </w:p>
        </w:tc>
        <w:tc>
          <w:tcPr>
            <w:tcW w:w="2220" w:type="dxa"/>
            <w:noWrap w:val="0"/>
            <w:vAlign w:val="center"/>
          </w:tcPr>
          <w:p w14:paraId="7208318E">
            <w:pPr>
              <w:widowControl/>
              <w:jc w:val="left"/>
              <w:rPr>
                <w:rFonts w:ascii="仿宋" w:hAnsi="仿宋" w:eastAsia="仿宋" w:cs="仿宋"/>
                <w:kern w:val="0"/>
                <w:sz w:val="24"/>
                <w:szCs w:val="24"/>
                <w:highlight w:val="none"/>
              </w:rPr>
            </w:pPr>
          </w:p>
        </w:tc>
      </w:tr>
      <w:tr w14:paraId="04BCE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noWrap w:val="0"/>
            <w:vAlign w:val="center"/>
          </w:tcPr>
          <w:p w14:paraId="5DB56960">
            <w:pPr>
              <w:widowControl/>
              <w:jc w:val="left"/>
              <w:rPr>
                <w:rFonts w:ascii="仿宋" w:hAnsi="仿宋" w:eastAsia="仿宋" w:cs="仿宋"/>
                <w:kern w:val="0"/>
                <w:sz w:val="24"/>
                <w:szCs w:val="24"/>
                <w:highlight w:val="none"/>
              </w:rPr>
            </w:pPr>
          </w:p>
        </w:tc>
        <w:tc>
          <w:tcPr>
            <w:tcW w:w="2966" w:type="dxa"/>
            <w:noWrap w:val="0"/>
            <w:vAlign w:val="center"/>
          </w:tcPr>
          <w:p w14:paraId="731CB68A">
            <w:pPr>
              <w:widowControl/>
              <w:jc w:val="left"/>
              <w:rPr>
                <w:rFonts w:ascii="仿宋" w:hAnsi="仿宋" w:eastAsia="仿宋" w:cs="仿宋"/>
                <w:kern w:val="0"/>
                <w:sz w:val="24"/>
                <w:szCs w:val="24"/>
                <w:highlight w:val="none"/>
              </w:rPr>
            </w:pPr>
          </w:p>
        </w:tc>
        <w:tc>
          <w:tcPr>
            <w:tcW w:w="2693" w:type="dxa"/>
            <w:noWrap w:val="0"/>
            <w:vAlign w:val="center"/>
          </w:tcPr>
          <w:p w14:paraId="243B4702">
            <w:pPr>
              <w:widowControl/>
              <w:jc w:val="left"/>
              <w:rPr>
                <w:rFonts w:ascii="仿宋" w:hAnsi="仿宋" w:eastAsia="仿宋" w:cs="仿宋"/>
                <w:kern w:val="0"/>
                <w:sz w:val="24"/>
                <w:szCs w:val="24"/>
                <w:highlight w:val="none"/>
              </w:rPr>
            </w:pPr>
          </w:p>
        </w:tc>
        <w:tc>
          <w:tcPr>
            <w:tcW w:w="2220" w:type="dxa"/>
            <w:noWrap w:val="0"/>
            <w:vAlign w:val="center"/>
          </w:tcPr>
          <w:p w14:paraId="512A96B9">
            <w:pPr>
              <w:widowControl/>
              <w:jc w:val="left"/>
              <w:rPr>
                <w:rFonts w:ascii="仿宋" w:hAnsi="仿宋" w:eastAsia="仿宋" w:cs="仿宋"/>
                <w:kern w:val="0"/>
                <w:sz w:val="24"/>
                <w:szCs w:val="24"/>
                <w:highlight w:val="none"/>
              </w:rPr>
            </w:pPr>
          </w:p>
        </w:tc>
      </w:tr>
      <w:tr w14:paraId="7C347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noWrap w:val="0"/>
            <w:vAlign w:val="center"/>
          </w:tcPr>
          <w:p w14:paraId="29AB2850">
            <w:pPr>
              <w:widowControl/>
              <w:jc w:val="left"/>
              <w:rPr>
                <w:rFonts w:ascii="仿宋" w:hAnsi="仿宋" w:eastAsia="仿宋" w:cs="仿宋"/>
                <w:kern w:val="0"/>
                <w:sz w:val="24"/>
                <w:szCs w:val="24"/>
                <w:highlight w:val="none"/>
              </w:rPr>
            </w:pPr>
          </w:p>
        </w:tc>
        <w:tc>
          <w:tcPr>
            <w:tcW w:w="2966" w:type="dxa"/>
            <w:noWrap w:val="0"/>
            <w:vAlign w:val="center"/>
          </w:tcPr>
          <w:p w14:paraId="7715C250">
            <w:pPr>
              <w:widowControl/>
              <w:jc w:val="left"/>
              <w:rPr>
                <w:rFonts w:ascii="仿宋" w:hAnsi="仿宋" w:eastAsia="仿宋" w:cs="仿宋"/>
                <w:kern w:val="0"/>
                <w:sz w:val="24"/>
                <w:szCs w:val="24"/>
                <w:highlight w:val="none"/>
              </w:rPr>
            </w:pPr>
          </w:p>
        </w:tc>
        <w:tc>
          <w:tcPr>
            <w:tcW w:w="2693" w:type="dxa"/>
            <w:noWrap w:val="0"/>
            <w:vAlign w:val="center"/>
          </w:tcPr>
          <w:p w14:paraId="0DC41BC1">
            <w:pPr>
              <w:widowControl/>
              <w:jc w:val="left"/>
              <w:rPr>
                <w:rFonts w:ascii="仿宋" w:hAnsi="仿宋" w:eastAsia="仿宋" w:cs="仿宋"/>
                <w:kern w:val="0"/>
                <w:sz w:val="24"/>
                <w:szCs w:val="24"/>
                <w:highlight w:val="none"/>
              </w:rPr>
            </w:pPr>
          </w:p>
        </w:tc>
        <w:tc>
          <w:tcPr>
            <w:tcW w:w="2220" w:type="dxa"/>
            <w:noWrap w:val="0"/>
            <w:vAlign w:val="center"/>
          </w:tcPr>
          <w:p w14:paraId="47DFC925">
            <w:pPr>
              <w:widowControl/>
              <w:jc w:val="left"/>
              <w:rPr>
                <w:rFonts w:ascii="仿宋" w:hAnsi="仿宋" w:eastAsia="仿宋" w:cs="仿宋"/>
                <w:kern w:val="0"/>
                <w:sz w:val="24"/>
                <w:szCs w:val="24"/>
                <w:highlight w:val="none"/>
              </w:rPr>
            </w:pPr>
          </w:p>
        </w:tc>
      </w:tr>
      <w:tr w14:paraId="00E4E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noWrap w:val="0"/>
            <w:vAlign w:val="center"/>
          </w:tcPr>
          <w:p w14:paraId="24A0FE65">
            <w:pPr>
              <w:widowControl/>
              <w:jc w:val="left"/>
              <w:rPr>
                <w:rFonts w:ascii="仿宋" w:hAnsi="仿宋" w:eastAsia="仿宋" w:cs="仿宋"/>
                <w:kern w:val="0"/>
                <w:sz w:val="24"/>
                <w:szCs w:val="24"/>
                <w:highlight w:val="none"/>
              </w:rPr>
            </w:pPr>
          </w:p>
        </w:tc>
        <w:tc>
          <w:tcPr>
            <w:tcW w:w="2966" w:type="dxa"/>
            <w:noWrap w:val="0"/>
            <w:vAlign w:val="center"/>
          </w:tcPr>
          <w:p w14:paraId="7A62CE75">
            <w:pPr>
              <w:widowControl/>
              <w:jc w:val="left"/>
              <w:rPr>
                <w:rFonts w:ascii="仿宋" w:hAnsi="仿宋" w:eastAsia="仿宋" w:cs="仿宋"/>
                <w:kern w:val="0"/>
                <w:sz w:val="24"/>
                <w:szCs w:val="24"/>
                <w:highlight w:val="none"/>
              </w:rPr>
            </w:pPr>
          </w:p>
        </w:tc>
        <w:tc>
          <w:tcPr>
            <w:tcW w:w="2693" w:type="dxa"/>
            <w:noWrap w:val="0"/>
            <w:vAlign w:val="center"/>
          </w:tcPr>
          <w:p w14:paraId="08577AA4">
            <w:pPr>
              <w:widowControl/>
              <w:jc w:val="left"/>
              <w:rPr>
                <w:rFonts w:ascii="仿宋" w:hAnsi="仿宋" w:eastAsia="仿宋" w:cs="仿宋"/>
                <w:kern w:val="0"/>
                <w:sz w:val="24"/>
                <w:szCs w:val="24"/>
                <w:highlight w:val="none"/>
              </w:rPr>
            </w:pPr>
          </w:p>
        </w:tc>
        <w:tc>
          <w:tcPr>
            <w:tcW w:w="2220" w:type="dxa"/>
            <w:noWrap w:val="0"/>
            <w:vAlign w:val="center"/>
          </w:tcPr>
          <w:p w14:paraId="4FAD2C8E">
            <w:pPr>
              <w:widowControl/>
              <w:jc w:val="left"/>
              <w:rPr>
                <w:rFonts w:ascii="仿宋" w:hAnsi="仿宋" w:eastAsia="仿宋" w:cs="仿宋"/>
                <w:kern w:val="0"/>
                <w:sz w:val="24"/>
                <w:szCs w:val="24"/>
                <w:highlight w:val="none"/>
              </w:rPr>
            </w:pPr>
          </w:p>
        </w:tc>
      </w:tr>
      <w:tr w14:paraId="2C187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noWrap w:val="0"/>
            <w:vAlign w:val="center"/>
          </w:tcPr>
          <w:p w14:paraId="3EF8C6DB">
            <w:pPr>
              <w:widowControl/>
              <w:jc w:val="left"/>
              <w:rPr>
                <w:rFonts w:ascii="仿宋" w:hAnsi="仿宋" w:eastAsia="仿宋" w:cs="仿宋"/>
                <w:kern w:val="0"/>
                <w:sz w:val="24"/>
                <w:szCs w:val="24"/>
                <w:highlight w:val="none"/>
              </w:rPr>
            </w:pPr>
          </w:p>
        </w:tc>
        <w:tc>
          <w:tcPr>
            <w:tcW w:w="2966" w:type="dxa"/>
            <w:noWrap w:val="0"/>
            <w:vAlign w:val="center"/>
          </w:tcPr>
          <w:p w14:paraId="3225A676">
            <w:pPr>
              <w:widowControl/>
              <w:jc w:val="left"/>
              <w:rPr>
                <w:rFonts w:ascii="仿宋" w:hAnsi="仿宋" w:eastAsia="仿宋" w:cs="仿宋"/>
                <w:kern w:val="0"/>
                <w:sz w:val="24"/>
                <w:szCs w:val="24"/>
                <w:highlight w:val="none"/>
              </w:rPr>
            </w:pPr>
          </w:p>
        </w:tc>
        <w:tc>
          <w:tcPr>
            <w:tcW w:w="2693" w:type="dxa"/>
            <w:noWrap w:val="0"/>
            <w:vAlign w:val="center"/>
          </w:tcPr>
          <w:p w14:paraId="6E9FC15F">
            <w:pPr>
              <w:widowControl/>
              <w:jc w:val="left"/>
              <w:rPr>
                <w:rFonts w:ascii="仿宋" w:hAnsi="仿宋" w:eastAsia="仿宋" w:cs="仿宋"/>
                <w:kern w:val="0"/>
                <w:sz w:val="24"/>
                <w:szCs w:val="24"/>
                <w:highlight w:val="none"/>
              </w:rPr>
            </w:pPr>
          </w:p>
        </w:tc>
        <w:tc>
          <w:tcPr>
            <w:tcW w:w="2220" w:type="dxa"/>
            <w:noWrap w:val="0"/>
            <w:vAlign w:val="center"/>
          </w:tcPr>
          <w:p w14:paraId="4548E928">
            <w:pPr>
              <w:widowControl/>
              <w:jc w:val="left"/>
              <w:rPr>
                <w:rFonts w:ascii="仿宋" w:hAnsi="仿宋" w:eastAsia="仿宋" w:cs="仿宋"/>
                <w:kern w:val="0"/>
                <w:sz w:val="24"/>
                <w:szCs w:val="24"/>
                <w:highlight w:val="none"/>
              </w:rPr>
            </w:pPr>
          </w:p>
        </w:tc>
      </w:tr>
      <w:tr w14:paraId="3834F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noWrap w:val="0"/>
            <w:vAlign w:val="center"/>
          </w:tcPr>
          <w:p w14:paraId="41CBB14C">
            <w:pPr>
              <w:widowControl/>
              <w:jc w:val="left"/>
              <w:rPr>
                <w:rFonts w:ascii="仿宋" w:hAnsi="仿宋" w:eastAsia="仿宋" w:cs="仿宋"/>
                <w:kern w:val="0"/>
                <w:sz w:val="24"/>
                <w:szCs w:val="24"/>
                <w:highlight w:val="none"/>
              </w:rPr>
            </w:pPr>
          </w:p>
        </w:tc>
        <w:tc>
          <w:tcPr>
            <w:tcW w:w="2966" w:type="dxa"/>
            <w:noWrap w:val="0"/>
            <w:vAlign w:val="center"/>
          </w:tcPr>
          <w:p w14:paraId="2ABE51C0">
            <w:pPr>
              <w:widowControl/>
              <w:jc w:val="left"/>
              <w:rPr>
                <w:rFonts w:ascii="仿宋" w:hAnsi="仿宋" w:eastAsia="仿宋" w:cs="仿宋"/>
                <w:kern w:val="0"/>
                <w:sz w:val="24"/>
                <w:szCs w:val="24"/>
                <w:highlight w:val="none"/>
              </w:rPr>
            </w:pPr>
          </w:p>
        </w:tc>
        <w:tc>
          <w:tcPr>
            <w:tcW w:w="2693" w:type="dxa"/>
            <w:noWrap w:val="0"/>
            <w:vAlign w:val="center"/>
          </w:tcPr>
          <w:p w14:paraId="480292A4">
            <w:pPr>
              <w:widowControl/>
              <w:jc w:val="left"/>
              <w:rPr>
                <w:rFonts w:ascii="仿宋" w:hAnsi="仿宋" w:eastAsia="仿宋" w:cs="仿宋"/>
                <w:kern w:val="0"/>
                <w:sz w:val="24"/>
                <w:szCs w:val="24"/>
                <w:highlight w:val="none"/>
              </w:rPr>
            </w:pPr>
          </w:p>
        </w:tc>
        <w:tc>
          <w:tcPr>
            <w:tcW w:w="2220" w:type="dxa"/>
            <w:noWrap w:val="0"/>
            <w:vAlign w:val="center"/>
          </w:tcPr>
          <w:p w14:paraId="59638CB8">
            <w:pPr>
              <w:widowControl/>
              <w:jc w:val="left"/>
              <w:rPr>
                <w:rFonts w:ascii="仿宋" w:hAnsi="仿宋" w:eastAsia="仿宋" w:cs="仿宋"/>
                <w:kern w:val="0"/>
                <w:sz w:val="24"/>
                <w:szCs w:val="24"/>
                <w:highlight w:val="none"/>
              </w:rPr>
            </w:pPr>
          </w:p>
        </w:tc>
      </w:tr>
      <w:tr w14:paraId="02A1C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noWrap w:val="0"/>
            <w:vAlign w:val="center"/>
          </w:tcPr>
          <w:p w14:paraId="62F339FF">
            <w:pPr>
              <w:widowControl/>
              <w:jc w:val="left"/>
              <w:rPr>
                <w:rFonts w:ascii="仿宋" w:hAnsi="仿宋" w:eastAsia="仿宋" w:cs="仿宋"/>
                <w:kern w:val="0"/>
                <w:sz w:val="24"/>
                <w:szCs w:val="24"/>
                <w:highlight w:val="none"/>
              </w:rPr>
            </w:pPr>
          </w:p>
        </w:tc>
        <w:tc>
          <w:tcPr>
            <w:tcW w:w="2966" w:type="dxa"/>
            <w:noWrap w:val="0"/>
            <w:vAlign w:val="center"/>
          </w:tcPr>
          <w:p w14:paraId="4F1825E9">
            <w:pPr>
              <w:widowControl/>
              <w:jc w:val="left"/>
              <w:rPr>
                <w:rFonts w:ascii="仿宋" w:hAnsi="仿宋" w:eastAsia="仿宋" w:cs="仿宋"/>
                <w:kern w:val="0"/>
                <w:sz w:val="24"/>
                <w:szCs w:val="24"/>
                <w:highlight w:val="none"/>
              </w:rPr>
            </w:pPr>
          </w:p>
        </w:tc>
        <w:tc>
          <w:tcPr>
            <w:tcW w:w="2693" w:type="dxa"/>
            <w:noWrap w:val="0"/>
            <w:vAlign w:val="center"/>
          </w:tcPr>
          <w:p w14:paraId="4F5E8D2E">
            <w:pPr>
              <w:widowControl/>
              <w:jc w:val="left"/>
              <w:rPr>
                <w:rFonts w:ascii="仿宋" w:hAnsi="仿宋" w:eastAsia="仿宋" w:cs="仿宋"/>
                <w:kern w:val="0"/>
                <w:sz w:val="24"/>
                <w:szCs w:val="24"/>
                <w:highlight w:val="none"/>
              </w:rPr>
            </w:pPr>
          </w:p>
        </w:tc>
        <w:tc>
          <w:tcPr>
            <w:tcW w:w="2220" w:type="dxa"/>
            <w:noWrap w:val="0"/>
            <w:vAlign w:val="center"/>
          </w:tcPr>
          <w:p w14:paraId="1B4A94A0">
            <w:pPr>
              <w:widowControl/>
              <w:jc w:val="left"/>
              <w:rPr>
                <w:rFonts w:ascii="仿宋" w:hAnsi="仿宋" w:eastAsia="仿宋" w:cs="仿宋"/>
                <w:kern w:val="0"/>
                <w:sz w:val="24"/>
                <w:szCs w:val="24"/>
                <w:highlight w:val="none"/>
              </w:rPr>
            </w:pPr>
          </w:p>
        </w:tc>
      </w:tr>
    </w:tbl>
    <w:p w14:paraId="770FE64E">
      <w:pPr>
        <w:widowControl/>
        <w:spacing w:line="360" w:lineRule="auto"/>
        <w:ind w:firstLine="422" w:firstLineChars="200"/>
        <w:jc w:val="left"/>
        <w:rPr>
          <w:rFonts w:ascii="仿宋" w:hAnsi="仿宋" w:eastAsia="仿宋" w:cs="仿宋"/>
          <w:b/>
          <w:sz w:val="21"/>
          <w:szCs w:val="21"/>
          <w:highlight w:val="none"/>
        </w:rPr>
      </w:pPr>
    </w:p>
    <w:p w14:paraId="704A06C8">
      <w:pPr>
        <w:widowControl/>
        <w:spacing w:line="360" w:lineRule="auto"/>
        <w:ind w:firstLine="422" w:firstLineChars="200"/>
        <w:jc w:val="left"/>
        <w:rPr>
          <w:rFonts w:ascii="仿宋" w:hAnsi="仿宋" w:eastAsia="仿宋" w:cs="仿宋"/>
          <w:b/>
          <w:sz w:val="21"/>
          <w:szCs w:val="21"/>
          <w:highlight w:val="none"/>
        </w:rPr>
      </w:pPr>
      <w:r>
        <w:rPr>
          <w:rFonts w:hint="eastAsia" w:ascii="仿宋" w:hAnsi="仿宋" w:eastAsia="仿宋" w:cs="仿宋"/>
          <w:b/>
          <w:sz w:val="21"/>
          <w:szCs w:val="21"/>
          <w:highlight w:val="none"/>
        </w:rPr>
        <w:t>注：比选申请人必须据实填写，不得虚假应答，否则将取消其比选或成交资格。如与比选文件服务商务相关条款无偏离，则无须逐条应答。如有偏离条款，请将偏离条款逐条应答（正偏离或者负偏离）。未明确应答的条款（包括比选文件要求的非资格性审查的实质性条款及本章格式所附的“注”），均视为满足比选文件要求。</w:t>
      </w:r>
    </w:p>
    <w:p w14:paraId="02A61BE2">
      <w:pPr>
        <w:widowControl/>
        <w:spacing w:line="360" w:lineRule="auto"/>
        <w:ind w:firstLine="480" w:firstLineChars="200"/>
        <w:jc w:val="left"/>
        <w:rPr>
          <w:rFonts w:ascii="仿宋" w:hAnsi="仿宋" w:eastAsia="仿宋" w:cs="仿宋"/>
          <w:sz w:val="24"/>
          <w:szCs w:val="24"/>
          <w:highlight w:val="none"/>
        </w:rPr>
      </w:pPr>
    </w:p>
    <w:p w14:paraId="0AB37631">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 xml:space="preserve">比选申请人名称 （盖章）： </w:t>
      </w:r>
    </w:p>
    <w:p w14:paraId="440A06DC">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法定代表人或授权代表（签字或加盖个人名章）：</w:t>
      </w:r>
    </w:p>
    <w:p w14:paraId="3354834D">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响应日期：</w:t>
      </w:r>
      <w:r>
        <w:rPr>
          <w:rFonts w:hint="eastAsia" w:ascii="仿宋" w:hAnsi="仿宋" w:eastAsia="仿宋" w:cs="仿宋"/>
          <w:sz w:val="24"/>
          <w:szCs w:val="24"/>
          <w:highlight w:val="none"/>
        </w:rPr>
        <w:tab/>
      </w:r>
      <w:r>
        <w:rPr>
          <w:rFonts w:hint="eastAsia" w:ascii="仿宋" w:hAnsi="仿宋" w:eastAsia="仿宋" w:cs="仿宋"/>
          <w:sz w:val="24"/>
          <w:szCs w:val="24"/>
          <w:highlight w:val="none"/>
        </w:rPr>
        <w:t>年</w:t>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 月</w:t>
      </w:r>
      <w:r>
        <w:rPr>
          <w:rFonts w:hint="eastAsia" w:ascii="仿宋" w:hAnsi="仿宋" w:eastAsia="仿宋" w:cs="仿宋"/>
          <w:sz w:val="24"/>
          <w:szCs w:val="24"/>
          <w:highlight w:val="none"/>
        </w:rPr>
        <w:tab/>
      </w:r>
      <w:r>
        <w:rPr>
          <w:rFonts w:hint="eastAsia" w:ascii="仿宋" w:hAnsi="仿宋" w:eastAsia="仿宋" w:cs="仿宋"/>
          <w:sz w:val="24"/>
          <w:szCs w:val="24"/>
          <w:highlight w:val="none"/>
        </w:rPr>
        <w:t>日</w:t>
      </w:r>
    </w:p>
    <w:p w14:paraId="254B006B">
      <w:pPr>
        <w:pStyle w:val="3"/>
        <w:ind w:firstLine="643"/>
        <w:jc w:val="center"/>
        <w:rPr>
          <w:rFonts w:ascii="仿宋" w:hAnsi="仿宋" w:eastAsia="仿宋" w:cs="仿宋"/>
          <w:sz w:val="32"/>
          <w:highlight w:val="none"/>
        </w:rPr>
      </w:pPr>
      <w:r>
        <w:rPr>
          <w:rFonts w:hint="eastAsia" w:ascii="仿宋" w:hAnsi="仿宋" w:eastAsia="仿宋" w:cs="仿宋"/>
          <w:sz w:val="32"/>
          <w:szCs w:val="32"/>
          <w:highlight w:val="none"/>
        </w:rPr>
        <w:br w:type="page"/>
      </w:r>
      <w:bookmarkStart w:id="27" w:name="_Toc497923236"/>
      <w:r>
        <w:rPr>
          <w:rFonts w:hint="eastAsia" w:ascii="仿宋" w:hAnsi="仿宋" w:eastAsia="仿宋" w:cs="仿宋"/>
          <w:sz w:val="32"/>
          <w:highlight w:val="none"/>
        </w:rPr>
        <w:t>八、比选申请人基本情况表</w:t>
      </w:r>
      <w:bookmarkEnd w:id="27"/>
    </w:p>
    <w:tbl>
      <w:tblPr>
        <w:tblStyle w:val="59"/>
        <w:tblpPr w:leftFromText="180" w:rightFromText="180" w:vertAnchor="text" w:horzAnchor="margin" w:tblpXSpec="center" w:tblpY="16"/>
        <w:tblOverlap w:val="never"/>
        <w:tblW w:w="8215"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1048"/>
        <w:gridCol w:w="1148"/>
        <w:gridCol w:w="1247"/>
        <w:gridCol w:w="1320"/>
        <w:gridCol w:w="158"/>
        <w:gridCol w:w="692"/>
        <w:gridCol w:w="1080"/>
      </w:tblGrid>
      <w:tr w14:paraId="0C274AE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tcBorders>
              <w:top w:val="single" w:color="auto" w:sz="18" w:space="0"/>
              <w:left w:val="single" w:color="auto" w:sz="18" w:space="0"/>
              <w:bottom w:val="single" w:color="auto" w:sz="6" w:space="0"/>
              <w:right w:val="single" w:color="auto" w:sz="6" w:space="0"/>
            </w:tcBorders>
            <w:noWrap w:val="0"/>
            <w:vAlign w:val="center"/>
          </w:tcPr>
          <w:p w14:paraId="29209F25">
            <w:pPr>
              <w:rPr>
                <w:rFonts w:ascii="仿宋" w:hAnsi="仿宋" w:eastAsia="仿宋" w:cs="仿宋"/>
                <w:sz w:val="24"/>
                <w:szCs w:val="24"/>
                <w:highlight w:val="none"/>
              </w:rPr>
            </w:pPr>
            <w:bookmarkStart w:id="28" w:name="_Toc497727752"/>
            <w:r>
              <w:rPr>
                <w:rFonts w:hint="eastAsia" w:ascii="仿宋" w:hAnsi="仿宋" w:eastAsia="仿宋" w:cs="仿宋"/>
                <w:sz w:val="24"/>
                <w:szCs w:val="24"/>
                <w:highlight w:val="none"/>
              </w:rPr>
              <w:t>比选申请人名称</w:t>
            </w:r>
            <w:bookmarkEnd w:id="28"/>
          </w:p>
        </w:tc>
        <w:tc>
          <w:tcPr>
            <w:tcW w:w="6693" w:type="dxa"/>
            <w:gridSpan w:val="7"/>
            <w:tcBorders>
              <w:top w:val="single" w:color="auto" w:sz="18" w:space="0"/>
              <w:left w:val="single" w:color="auto" w:sz="6" w:space="0"/>
              <w:bottom w:val="single" w:color="auto" w:sz="6" w:space="0"/>
              <w:right w:val="single" w:color="auto" w:sz="18" w:space="0"/>
            </w:tcBorders>
            <w:noWrap w:val="0"/>
            <w:vAlign w:val="center"/>
          </w:tcPr>
          <w:p w14:paraId="7837CA3A">
            <w:pPr>
              <w:rPr>
                <w:rFonts w:ascii="仿宋" w:hAnsi="仿宋" w:eastAsia="仿宋" w:cs="仿宋"/>
                <w:sz w:val="24"/>
                <w:szCs w:val="24"/>
                <w:highlight w:val="none"/>
              </w:rPr>
            </w:pPr>
          </w:p>
        </w:tc>
      </w:tr>
      <w:tr w14:paraId="05EA471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tcBorders>
              <w:top w:val="single" w:color="auto" w:sz="6" w:space="0"/>
              <w:left w:val="single" w:color="auto" w:sz="18" w:space="0"/>
              <w:bottom w:val="single" w:color="auto" w:sz="6" w:space="0"/>
              <w:right w:val="single" w:color="auto" w:sz="6" w:space="0"/>
            </w:tcBorders>
            <w:noWrap w:val="0"/>
            <w:vAlign w:val="center"/>
          </w:tcPr>
          <w:p w14:paraId="71786893">
            <w:pPr>
              <w:rPr>
                <w:rFonts w:ascii="仿宋" w:hAnsi="仿宋" w:eastAsia="仿宋" w:cs="仿宋"/>
                <w:sz w:val="24"/>
                <w:szCs w:val="24"/>
                <w:highlight w:val="none"/>
              </w:rPr>
            </w:pPr>
            <w:bookmarkStart w:id="29" w:name="_Toc497727753"/>
            <w:r>
              <w:rPr>
                <w:rFonts w:hint="eastAsia" w:ascii="仿宋" w:hAnsi="仿宋" w:eastAsia="仿宋" w:cs="仿宋"/>
                <w:sz w:val="24"/>
                <w:szCs w:val="24"/>
                <w:highlight w:val="none"/>
              </w:rPr>
              <w:t>注册地址</w:t>
            </w:r>
            <w:bookmarkEnd w:id="29"/>
          </w:p>
        </w:tc>
        <w:tc>
          <w:tcPr>
            <w:tcW w:w="3443" w:type="dxa"/>
            <w:gridSpan w:val="3"/>
            <w:tcBorders>
              <w:top w:val="single" w:color="auto" w:sz="6" w:space="0"/>
              <w:left w:val="single" w:color="auto" w:sz="6" w:space="0"/>
              <w:bottom w:val="single" w:color="auto" w:sz="6" w:space="0"/>
              <w:right w:val="single" w:color="auto" w:sz="6" w:space="0"/>
            </w:tcBorders>
            <w:noWrap w:val="0"/>
            <w:vAlign w:val="center"/>
          </w:tcPr>
          <w:p w14:paraId="18247790">
            <w:pPr>
              <w:rPr>
                <w:rFonts w:ascii="仿宋" w:hAnsi="仿宋" w:eastAsia="仿宋" w:cs="仿宋"/>
                <w:sz w:val="24"/>
                <w:szCs w:val="24"/>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center"/>
          </w:tcPr>
          <w:p w14:paraId="2ABC3183">
            <w:pPr>
              <w:rPr>
                <w:rFonts w:ascii="仿宋" w:hAnsi="仿宋" w:eastAsia="仿宋" w:cs="仿宋"/>
                <w:sz w:val="24"/>
                <w:szCs w:val="24"/>
                <w:highlight w:val="none"/>
              </w:rPr>
            </w:pPr>
            <w:bookmarkStart w:id="30" w:name="_Toc497727754"/>
            <w:r>
              <w:rPr>
                <w:rFonts w:hint="eastAsia" w:ascii="仿宋" w:hAnsi="仿宋" w:eastAsia="仿宋" w:cs="仿宋"/>
                <w:sz w:val="24"/>
                <w:szCs w:val="24"/>
                <w:highlight w:val="none"/>
              </w:rPr>
              <w:t>邮政编码</w:t>
            </w:r>
            <w:bookmarkEnd w:id="30"/>
          </w:p>
        </w:tc>
        <w:tc>
          <w:tcPr>
            <w:tcW w:w="1930" w:type="dxa"/>
            <w:gridSpan w:val="3"/>
            <w:tcBorders>
              <w:top w:val="single" w:color="auto" w:sz="6" w:space="0"/>
              <w:left w:val="single" w:color="auto" w:sz="6" w:space="0"/>
              <w:bottom w:val="single" w:color="auto" w:sz="6" w:space="0"/>
              <w:right w:val="single" w:color="auto" w:sz="18" w:space="0"/>
            </w:tcBorders>
            <w:noWrap w:val="0"/>
            <w:vAlign w:val="center"/>
          </w:tcPr>
          <w:p w14:paraId="16090651">
            <w:pPr>
              <w:rPr>
                <w:rFonts w:ascii="仿宋" w:hAnsi="仿宋" w:eastAsia="仿宋" w:cs="仿宋"/>
                <w:sz w:val="24"/>
                <w:szCs w:val="24"/>
                <w:highlight w:val="none"/>
              </w:rPr>
            </w:pPr>
          </w:p>
        </w:tc>
      </w:tr>
      <w:tr w14:paraId="627F27B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Merge w:val="restart"/>
            <w:tcBorders>
              <w:top w:val="single" w:color="auto" w:sz="6" w:space="0"/>
              <w:left w:val="single" w:color="auto" w:sz="18" w:space="0"/>
              <w:bottom w:val="single" w:color="auto" w:sz="6" w:space="0"/>
              <w:right w:val="single" w:color="auto" w:sz="6" w:space="0"/>
            </w:tcBorders>
            <w:noWrap w:val="0"/>
            <w:vAlign w:val="center"/>
          </w:tcPr>
          <w:p w14:paraId="17F790C3">
            <w:pPr>
              <w:rPr>
                <w:rFonts w:ascii="仿宋" w:hAnsi="仿宋" w:eastAsia="仿宋" w:cs="仿宋"/>
                <w:sz w:val="24"/>
                <w:szCs w:val="24"/>
                <w:highlight w:val="none"/>
              </w:rPr>
            </w:pPr>
            <w:bookmarkStart w:id="31" w:name="_Toc497727755"/>
            <w:r>
              <w:rPr>
                <w:rFonts w:hint="eastAsia" w:ascii="仿宋" w:hAnsi="仿宋" w:eastAsia="仿宋" w:cs="仿宋"/>
                <w:sz w:val="24"/>
                <w:szCs w:val="24"/>
                <w:highlight w:val="none"/>
              </w:rPr>
              <w:t>联系方式</w:t>
            </w:r>
            <w:bookmarkEnd w:id="31"/>
          </w:p>
        </w:tc>
        <w:tc>
          <w:tcPr>
            <w:tcW w:w="1048" w:type="dxa"/>
            <w:tcBorders>
              <w:top w:val="single" w:color="auto" w:sz="6" w:space="0"/>
              <w:left w:val="single" w:color="auto" w:sz="6" w:space="0"/>
              <w:bottom w:val="single" w:color="auto" w:sz="6" w:space="0"/>
              <w:right w:val="single" w:color="auto" w:sz="6" w:space="0"/>
            </w:tcBorders>
            <w:noWrap w:val="0"/>
            <w:vAlign w:val="center"/>
          </w:tcPr>
          <w:p w14:paraId="2AEE2435">
            <w:pPr>
              <w:rPr>
                <w:rFonts w:ascii="仿宋" w:hAnsi="仿宋" w:eastAsia="仿宋" w:cs="仿宋"/>
                <w:sz w:val="24"/>
                <w:szCs w:val="24"/>
                <w:highlight w:val="none"/>
              </w:rPr>
            </w:pPr>
            <w:bookmarkStart w:id="32" w:name="_Toc497727756"/>
            <w:r>
              <w:rPr>
                <w:rFonts w:hint="eastAsia" w:ascii="仿宋" w:hAnsi="仿宋" w:eastAsia="仿宋" w:cs="仿宋"/>
                <w:sz w:val="24"/>
                <w:szCs w:val="24"/>
                <w:highlight w:val="none"/>
              </w:rPr>
              <w:t>联系人</w:t>
            </w:r>
            <w:bookmarkEnd w:id="32"/>
          </w:p>
        </w:tc>
        <w:tc>
          <w:tcPr>
            <w:tcW w:w="2395" w:type="dxa"/>
            <w:gridSpan w:val="2"/>
            <w:tcBorders>
              <w:top w:val="single" w:color="auto" w:sz="6" w:space="0"/>
              <w:left w:val="single" w:color="auto" w:sz="6" w:space="0"/>
              <w:bottom w:val="single" w:color="auto" w:sz="6" w:space="0"/>
              <w:right w:val="single" w:color="auto" w:sz="6" w:space="0"/>
            </w:tcBorders>
            <w:noWrap w:val="0"/>
            <w:vAlign w:val="center"/>
          </w:tcPr>
          <w:p w14:paraId="2810F246">
            <w:pPr>
              <w:rPr>
                <w:rFonts w:ascii="仿宋" w:hAnsi="仿宋" w:eastAsia="仿宋" w:cs="仿宋"/>
                <w:sz w:val="24"/>
                <w:szCs w:val="24"/>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center"/>
          </w:tcPr>
          <w:p w14:paraId="09FB88DB">
            <w:pPr>
              <w:rPr>
                <w:rFonts w:ascii="仿宋" w:hAnsi="仿宋" w:eastAsia="仿宋" w:cs="仿宋"/>
                <w:sz w:val="24"/>
                <w:szCs w:val="24"/>
                <w:highlight w:val="none"/>
              </w:rPr>
            </w:pPr>
            <w:bookmarkStart w:id="33" w:name="_Toc497727757"/>
            <w:r>
              <w:rPr>
                <w:rFonts w:hint="eastAsia" w:ascii="仿宋" w:hAnsi="仿宋" w:eastAsia="仿宋" w:cs="仿宋"/>
                <w:sz w:val="24"/>
                <w:szCs w:val="24"/>
                <w:highlight w:val="none"/>
              </w:rPr>
              <w:t>电话</w:t>
            </w:r>
            <w:bookmarkEnd w:id="33"/>
          </w:p>
        </w:tc>
        <w:tc>
          <w:tcPr>
            <w:tcW w:w="1930" w:type="dxa"/>
            <w:gridSpan w:val="3"/>
            <w:tcBorders>
              <w:top w:val="single" w:color="auto" w:sz="6" w:space="0"/>
              <w:left w:val="single" w:color="auto" w:sz="6" w:space="0"/>
              <w:bottom w:val="single" w:color="auto" w:sz="6" w:space="0"/>
              <w:right w:val="single" w:color="auto" w:sz="18" w:space="0"/>
            </w:tcBorders>
            <w:noWrap w:val="0"/>
            <w:vAlign w:val="center"/>
          </w:tcPr>
          <w:p w14:paraId="35F21395">
            <w:pPr>
              <w:rPr>
                <w:rFonts w:ascii="仿宋" w:hAnsi="仿宋" w:eastAsia="仿宋" w:cs="仿宋"/>
                <w:sz w:val="24"/>
                <w:szCs w:val="24"/>
                <w:highlight w:val="none"/>
              </w:rPr>
            </w:pPr>
          </w:p>
        </w:tc>
      </w:tr>
      <w:tr w14:paraId="228E1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522" w:type="dxa"/>
            <w:vMerge w:val="continue"/>
            <w:tcBorders>
              <w:top w:val="single" w:color="auto" w:sz="6" w:space="0"/>
              <w:left w:val="single" w:color="auto" w:sz="18" w:space="0"/>
              <w:bottom w:val="single" w:color="auto" w:sz="6" w:space="0"/>
              <w:right w:val="single" w:color="auto" w:sz="6" w:space="0"/>
            </w:tcBorders>
            <w:noWrap w:val="0"/>
            <w:vAlign w:val="center"/>
          </w:tcPr>
          <w:p w14:paraId="0F76D677">
            <w:pPr>
              <w:rPr>
                <w:rFonts w:ascii="仿宋" w:hAnsi="仿宋" w:eastAsia="仿宋" w:cs="仿宋"/>
                <w:sz w:val="24"/>
                <w:szCs w:val="24"/>
                <w:highlight w:val="none"/>
              </w:rPr>
            </w:pPr>
          </w:p>
        </w:tc>
        <w:tc>
          <w:tcPr>
            <w:tcW w:w="1048" w:type="dxa"/>
            <w:tcBorders>
              <w:top w:val="single" w:color="auto" w:sz="6" w:space="0"/>
              <w:left w:val="single" w:color="auto" w:sz="6" w:space="0"/>
              <w:bottom w:val="single" w:color="auto" w:sz="6" w:space="0"/>
              <w:right w:val="single" w:color="auto" w:sz="6" w:space="0"/>
            </w:tcBorders>
            <w:noWrap w:val="0"/>
            <w:vAlign w:val="center"/>
          </w:tcPr>
          <w:p w14:paraId="5545F75E">
            <w:pPr>
              <w:rPr>
                <w:rFonts w:ascii="仿宋" w:hAnsi="仿宋" w:eastAsia="仿宋" w:cs="仿宋"/>
                <w:sz w:val="24"/>
                <w:szCs w:val="24"/>
                <w:highlight w:val="none"/>
              </w:rPr>
            </w:pPr>
            <w:bookmarkStart w:id="34" w:name="_Toc497727758"/>
            <w:r>
              <w:rPr>
                <w:rFonts w:hint="eastAsia" w:ascii="仿宋" w:hAnsi="仿宋" w:eastAsia="仿宋" w:cs="仿宋"/>
                <w:sz w:val="24"/>
                <w:szCs w:val="24"/>
                <w:highlight w:val="none"/>
              </w:rPr>
              <w:t>传真</w:t>
            </w:r>
            <w:bookmarkEnd w:id="34"/>
          </w:p>
        </w:tc>
        <w:tc>
          <w:tcPr>
            <w:tcW w:w="2395" w:type="dxa"/>
            <w:gridSpan w:val="2"/>
            <w:tcBorders>
              <w:top w:val="single" w:color="auto" w:sz="6" w:space="0"/>
              <w:left w:val="single" w:color="auto" w:sz="6" w:space="0"/>
              <w:bottom w:val="single" w:color="auto" w:sz="6" w:space="0"/>
              <w:right w:val="single" w:color="auto" w:sz="6" w:space="0"/>
            </w:tcBorders>
            <w:noWrap w:val="0"/>
            <w:vAlign w:val="center"/>
          </w:tcPr>
          <w:p w14:paraId="270463CD">
            <w:pPr>
              <w:rPr>
                <w:rFonts w:ascii="仿宋" w:hAnsi="仿宋" w:eastAsia="仿宋" w:cs="仿宋"/>
                <w:sz w:val="24"/>
                <w:szCs w:val="24"/>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center"/>
          </w:tcPr>
          <w:p w14:paraId="08A96870">
            <w:pPr>
              <w:rPr>
                <w:rFonts w:ascii="仿宋" w:hAnsi="仿宋" w:eastAsia="仿宋" w:cs="仿宋"/>
                <w:sz w:val="24"/>
                <w:szCs w:val="24"/>
                <w:highlight w:val="none"/>
              </w:rPr>
            </w:pPr>
            <w:bookmarkStart w:id="35" w:name="_Toc497727759"/>
            <w:r>
              <w:rPr>
                <w:rFonts w:hint="eastAsia" w:ascii="仿宋" w:hAnsi="仿宋" w:eastAsia="仿宋" w:cs="仿宋"/>
                <w:sz w:val="24"/>
                <w:szCs w:val="24"/>
                <w:highlight w:val="none"/>
              </w:rPr>
              <w:t>网址</w:t>
            </w:r>
            <w:bookmarkEnd w:id="35"/>
          </w:p>
        </w:tc>
        <w:tc>
          <w:tcPr>
            <w:tcW w:w="1930" w:type="dxa"/>
            <w:gridSpan w:val="3"/>
            <w:tcBorders>
              <w:top w:val="single" w:color="auto" w:sz="6" w:space="0"/>
              <w:left w:val="single" w:color="auto" w:sz="6" w:space="0"/>
              <w:bottom w:val="single" w:color="auto" w:sz="6" w:space="0"/>
              <w:right w:val="single" w:color="auto" w:sz="18" w:space="0"/>
            </w:tcBorders>
            <w:noWrap w:val="0"/>
            <w:vAlign w:val="center"/>
          </w:tcPr>
          <w:p w14:paraId="335E70B1">
            <w:pPr>
              <w:rPr>
                <w:rFonts w:ascii="仿宋" w:hAnsi="仿宋" w:eastAsia="仿宋" w:cs="仿宋"/>
                <w:sz w:val="24"/>
                <w:szCs w:val="24"/>
                <w:highlight w:val="none"/>
              </w:rPr>
            </w:pPr>
          </w:p>
        </w:tc>
      </w:tr>
      <w:tr w14:paraId="7B4B74A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tcBorders>
              <w:top w:val="single" w:color="auto" w:sz="6" w:space="0"/>
              <w:left w:val="single" w:color="auto" w:sz="18" w:space="0"/>
              <w:bottom w:val="single" w:color="auto" w:sz="6" w:space="0"/>
              <w:right w:val="single" w:color="auto" w:sz="6" w:space="0"/>
            </w:tcBorders>
            <w:noWrap w:val="0"/>
            <w:vAlign w:val="center"/>
          </w:tcPr>
          <w:p w14:paraId="38525D54">
            <w:pPr>
              <w:rPr>
                <w:rFonts w:ascii="仿宋" w:hAnsi="仿宋" w:eastAsia="仿宋" w:cs="仿宋"/>
                <w:sz w:val="24"/>
                <w:szCs w:val="24"/>
                <w:highlight w:val="none"/>
              </w:rPr>
            </w:pPr>
            <w:bookmarkStart w:id="36" w:name="_Toc497727760"/>
            <w:r>
              <w:rPr>
                <w:rFonts w:hint="eastAsia" w:ascii="仿宋" w:hAnsi="仿宋" w:eastAsia="仿宋" w:cs="仿宋"/>
                <w:sz w:val="24"/>
                <w:szCs w:val="24"/>
                <w:highlight w:val="none"/>
              </w:rPr>
              <w:t>组织结构</w:t>
            </w:r>
            <w:bookmarkEnd w:id="36"/>
          </w:p>
        </w:tc>
        <w:tc>
          <w:tcPr>
            <w:tcW w:w="6693" w:type="dxa"/>
            <w:gridSpan w:val="7"/>
            <w:tcBorders>
              <w:top w:val="single" w:color="auto" w:sz="6" w:space="0"/>
              <w:left w:val="single" w:color="auto" w:sz="6" w:space="0"/>
              <w:bottom w:val="single" w:color="auto" w:sz="6" w:space="0"/>
              <w:right w:val="single" w:color="auto" w:sz="18" w:space="0"/>
            </w:tcBorders>
            <w:noWrap w:val="0"/>
            <w:vAlign w:val="center"/>
          </w:tcPr>
          <w:p w14:paraId="4E7D5078">
            <w:pPr>
              <w:rPr>
                <w:rFonts w:ascii="仿宋" w:hAnsi="仿宋" w:eastAsia="仿宋" w:cs="仿宋"/>
                <w:sz w:val="24"/>
                <w:szCs w:val="24"/>
                <w:highlight w:val="none"/>
              </w:rPr>
            </w:pPr>
          </w:p>
        </w:tc>
      </w:tr>
      <w:tr w14:paraId="2BE0568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522" w:type="dxa"/>
            <w:tcBorders>
              <w:top w:val="single" w:color="auto" w:sz="6" w:space="0"/>
              <w:left w:val="single" w:color="auto" w:sz="18" w:space="0"/>
              <w:bottom w:val="single" w:color="auto" w:sz="6" w:space="0"/>
              <w:right w:val="single" w:color="auto" w:sz="6" w:space="0"/>
            </w:tcBorders>
            <w:noWrap w:val="0"/>
            <w:vAlign w:val="center"/>
          </w:tcPr>
          <w:p w14:paraId="2A6A8768">
            <w:pPr>
              <w:rPr>
                <w:rFonts w:ascii="仿宋" w:hAnsi="仿宋" w:eastAsia="仿宋" w:cs="仿宋"/>
                <w:sz w:val="24"/>
                <w:szCs w:val="24"/>
                <w:highlight w:val="none"/>
              </w:rPr>
            </w:pPr>
            <w:bookmarkStart w:id="37" w:name="_Toc497727761"/>
            <w:r>
              <w:rPr>
                <w:rFonts w:hint="eastAsia" w:ascii="仿宋" w:hAnsi="仿宋" w:eastAsia="仿宋" w:cs="仿宋"/>
                <w:sz w:val="24"/>
                <w:szCs w:val="24"/>
                <w:highlight w:val="none"/>
              </w:rPr>
              <w:t>法定代表人/单位负责人</w:t>
            </w:r>
            <w:bookmarkEnd w:id="37"/>
          </w:p>
        </w:tc>
        <w:tc>
          <w:tcPr>
            <w:tcW w:w="1048" w:type="dxa"/>
            <w:tcBorders>
              <w:top w:val="single" w:color="auto" w:sz="6" w:space="0"/>
              <w:left w:val="single" w:color="auto" w:sz="6" w:space="0"/>
              <w:bottom w:val="single" w:color="auto" w:sz="6" w:space="0"/>
              <w:right w:val="single" w:color="auto" w:sz="6" w:space="0"/>
            </w:tcBorders>
            <w:noWrap w:val="0"/>
            <w:vAlign w:val="center"/>
          </w:tcPr>
          <w:p w14:paraId="5CEBB02B">
            <w:pPr>
              <w:rPr>
                <w:rFonts w:ascii="仿宋" w:hAnsi="仿宋" w:eastAsia="仿宋" w:cs="仿宋"/>
                <w:sz w:val="24"/>
                <w:szCs w:val="24"/>
                <w:highlight w:val="none"/>
              </w:rPr>
            </w:pPr>
            <w:bookmarkStart w:id="38" w:name="_Toc497727762"/>
            <w:r>
              <w:rPr>
                <w:rFonts w:hint="eastAsia" w:ascii="仿宋" w:hAnsi="仿宋" w:eastAsia="仿宋" w:cs="仿宋"/>
                <w:sz w:val="24"/>
                <w:szCs w:val="24"/>
                <w:highlight w:val="none"/>
              </w:rPr>
              <w:t>姓名</w:t>
            </w:r>
            <w:bookmarkEnd w:id="38"/>
          </w:p>
        </w:tc>
        <w:tc>
          <w:tcPr>
            <w:tcW w:w="1148" w:type="dxa"/>
            <w:tcBorders>
              <w:top w:val="single" w:color="auto" w:sz="6" w:space="0"/>
              <w:left w:val="single" w:color="auto" w:sz="6" w:space="0"/>
              <w:bottom w:val="single" w:color="auto" w:sz="6" w:space="0"/>
              <w:right w:val="single" w:color="auto" w:sz="6" w:space="0"/>
            </w:tcBorders>
            <w:noWrap w:val="0"/>
            <w:vAlign w:val="center"/>
          </w:tcPr>
          <w:p w14:paraId="5197EF53">
            <w:pPr>
              <w:rPr>
                <w:rFonts w:ascii="仿宋" w:hAnsi="仿宋" w:eastAsia="仿宋" w:cs="仿宋"/>
                <w:sz w:val="24"/>
                <w:szCs w:val="24"/>
                <w:highlight w:val="none"/>
              </w:rPr>
            </w:pPr>
          </w:p>
        </w:tc>
        <w:tc>
          <w:tcPr>
            <w:tcW w:w="1247" w:type="dxa"/>
            <w:tcBorders>
              <w:top w:val="single" w:color="auto" w:sz="6" w:space="0"/>
              <w:left w:val="single" w:color="auto" w:sz="6" w:space="0"/>
              <w:bottom w:val="single" w:color="auto" w:sz="6" w:space="0"/>
              <w:right w:val="single" w:color="auto" w:sz="6" w:space="0"/>
            </w:tcBorders>
            <w:noWrap w:val="0"/>
            <w:vAlign w:val="center"/>
          </w:tcPr>
          <w:p w14:paraId="50F7B7D8">
            <w:pPr>
              <w:rPr>
                <w:rFonts w:ascii="仿宋" w:hAnsi="仿宋" w:eastAsia="仿宋" w:cs="仿宋"/>
                <w:sz w:val="24"/>
                <w:szCs w:val="24"/>
                <w:highlight w:val="none"/>
              </w:rPr>
            </w:pPr>
            <w:bookmarkStart w:id="39" w:name="_Toc497727763"/>
            <w:r>
              <w:rPr>
                <w:rFonts w:hint="eastAsia" w:ascii="仿宋" w:hAnsi="仿宋" w:eastAsia="仿宋" w:cs="仿宋"/>
                <w:sz w:val="24"/>
                <w:szCs w:val="24"/>
                <w:highlight w:val="none"/>
              </w:rPr>
              <w:t>技术职称</w:t>
            </w:r>
            <w:bookmarkEnd w:id="39"/>
          </w:p>
        </w:tc>
        <w:tc>
          <w:tcPr>
            <w:tcW w:w="1320" w:type="dxa"/>
            <w:tcBorders>
              <w:top w:val="single" w:color="auto" w:sz="6" w:space="0"/>
              <w:left w:val="single" w:color="auto" w:sz="6" w:space="0"/>
              <w:bottom w:val="single" w:color="auto" w:sz="6" w:space="0"/>
              <w:right w:val="single" w:color="auto" w:sz="6" w:space="0"/>
            </w:tcBorders>
            <w:noWrap w:val="0"/>
            <w:vAlign w:val="center"/>
          </w:tcPr>
          <w:p w14:paraId="33BDD571">
            <w:pPr>
              <w:rPr>
                <w:rFonts w:ascii="仿宋" w:hAnsi="仿宋" w:eastAsia="仿宋" w:cs="仿宋"/>
                <w:sz w:val="24"/>
                <w:szCs w:val="24"/>
                <w:highlight w:val="none"/>
              </w:rPr>
            </w:pPr>
          </w:p>
        </w:tc>
        <w:tc>
          <w:tcPr>
            <w:tcW w:w="850" w:type="dxa"/>
            <w:gridSpan w:val="2"/>
            <w:tcBorders>
              <w:top w:val="single" w:color="auto" w:sz="6" w:space="0"/>
              <w:left w:val="single" w:color="auto" w:sz="6" w:space="0"/>
              <w:bottom w:val="single" w:color="auto" w:sz="6" w:space="0"/>
              <w:right w:val="single" w:color="auto" w:sz="6" w:space="0"/>
            </w:tcBorders>
            <w:noWrap w:val="0"/>
            <w:vAlign w:val="center"/>
          </w:tcPr>
          <w:p w14:paraId="4BBFCFCB">
            <w:pPr>
              <w:rPr>
                <w:rFonts w:ascii="仿宋" w:hAnsi="仿宋" w:eastAsia="仿宋" w:cs="仿宋"/>
                <w:sz w:val="24"/>
                <w:szCs w:val="24"/>
                <w:highlight w:val="none"/>
              </w:rPr>
            </w:pPr>
            <w:bookmarkStart w:id="40" w:name="_Toc497727764"/>
            <w:r>
              <w:rPr>
                <w:rFonts w:hint="eastAsia" w:ascii="仿宋" w:hAnsi="仿宋" w:eastAsia="仿宋" w:cs="仿宋"/>
                <w:sz w:val="24"/>
                <w:szCs w:val="24"/>
                <w:highlight w:val="none"/>
              </w:rPr>
              <w:t>电话</w:t>
            </w:r>
            <w:bookmarkEnd w:id="40"/>
          </w:p>
        </w:tc>
        <w:tc>
          <w:tcPr>
            <w:tcW w:w="1080" w:type="dxa"/>
            <w:tcBorders>
              <w:top w:val="single" w:color="auto" w:sz="6" w:space="0"/>
              <w:left w:val="single" w:color="auto" w:sz="6" w:space="0"/>
              <w:bottom w:val="single" w:color="auto" w:sz="6" w:space="0"/>
              <w:right w:val="single" w:color="auto" w:sz="18" w:space="0"/>
            </w:tcBorders>
            <w:noWrap w:val="0"/>
            <w:vAlign w:val="center"/>
          </w:tcPr>
          <w:p w14:paraId="45077C24">
            <w:pPr>
              <w:rPr>
                <w:rFonts w:ascii="仿宋" w:hAnsi="仿宋" w:eastAsia="仿宋" w:cs="仿宋"/>
                <w:sz w:val="24"/>
                <w:szCs w:val="24"/>
                <w:highlight w:val="none"/>
              </w:rPr>
            </w:pPr>
          </w:p>
        </w:tc>
      </w:tr>
      <w:tr w14:paraId="5BF081A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522" w:type="dxa"/>
            <w:tcBorders>
              <w:top w:val="single" w:color="auto" w:sz="6" w:space="0"/>
              <w:left w:val="single" w:color="auto" w:sz="18" w:space="0"/>
              <w:bottom w:val="single" w:color="auto" w:sz="6" w:space="0"/>
              <w:right w:val="single" w:color="auto" w:sz="6" w:space="0"/>
            </w:tcBorders>
            <w:noWrap w:val="0"/>
            <w:vAlign w:val="center"/>
          </w:tcPr>
          <w:p w14:paraId="2F64865A">
            <w:pPr>
              <w:rPr>
                <w:rFonts w:ascii="仿宋" w:hAnsi="仿宋" w:eastAsia="仿宋" w:cs="仿宋"/>
                <w:sz w:val="24"/>
                <w:szCs w:val="24"/>
                <w:highlight w:val="none"/>
              </w:rPr>
            </w:pPr>
            <w:bookmarkStart w:id="41" w:name="_Toc497727765"/>
            <w:r>
              <w:rPr>
                <w:rFonts w:hint="eastAsia" w:ascii="仿宋" w:hAnsi="仿宋" w:eastAsia="仿宋" w:cs="仿宋"/>
                <w:sz w:val="24"/>
                <w:szCs w:val="24"/>
                <w:highlight w:val="none"/>
              </w:rPr>
              <w:t>技术负责人</w:t>
            </w:r>
            <w:bookmarkEnd w:id="41"/>
          </w:p>
        </w:tc>
        <w:tc>
          <w:tcPr>
            <w:tcW w:w="1048" w:type="dxa"/>
            <w:tcBorders>
              <w:top w:val="single" w:color="auto" w:sz="6" w:space="0"/>
              <w:left w:val="single" w:color="auto" w:sz="6" w:space="0"/>
              <w:bottom w:val="single" w:color="auto" w:sz="6" w:space="0"/>
              <w:right w:val="single" w:color="auto" w:sz="6" w:space="0"/>
            </w:tcBorders>
            <w:noWrap w:val="0"/>
            <w:vAlign w:val="center"/>
          </w:tcPr>
          <w:p w14:paraId="072D2125">
            <w:pPr>
              <w:rPr>
                <w:rFonts w:ascii="仿宋" w:hAnsi="仿宋" w:eastAsia="仿宋" w:cs="仿宋"/>
                <w:sz w:val="24"/>
                <w:szCs w:val="24"/>
                <w:highlight w:val="none"/>
              </w:rPr>
            </w:pPr>
            <w:bookmarkStart w:id="42" w:name="_Toc497727766"/>
            <w:r>
              <w:rPr>
                <w:rFonts w:hint="eastAsia" w:ascii="仿宋" w:hAnsi="仿宋" w:eastAsia="仿宋" w:cs="仿宋"/>
                <w:sz w:val="24"/>
                <w:szCs w:val="24"/>
                <w:highlight w:val="none"/>
              </w:rPr>
              <w:t>姓名</w:t>
            </w:r>
            <w:bookmarkEnd w:id="42"/>
          </w:p>
        </w:tc>
        <w:tc>
          <w:tcPr>
            <w:tcW w:w="1148" w:type="dxa"/>
            <w:tcBorders>
              <w:top w:val="single" w:color="auto" w:sz="6" w:space="0"/>
              <w:left w:val="single" w:color="auto" w:sz="6" w:space="0"/>
              <w:bottom w:val="single" w:color="auto" w:sz="6" w:space="0"/>
              <w:right w:val="single" w:color="auto" w:sz="6" w:space="0"/>
            </w:tcBorders>
            <w:noWrap w:val="0"/>
            <w:vAlign w:val="center"/>
          </w:tcPr>
          <w:p w14:paraId="0B8176E9">
            <w:pPr>
              <w:rPr>
                <w:rFonts w:ascii="仿宋" w:hAnsi="仿宋" w:eastAsia="仿宋" w:cs="仿宋"/>
                <w:sz w:val="24"/>
                <w:szCs w:val="24"/>
                <w:highlight w:val="none"/>
              </w:rPr>
            </w:pPr>
          </w:p>
        </w:tc>
        <w:tc>
          <w:tcPr>
            <w:tcW w:w="1247" w:type="dxa"/>
            <w:tcBorders>
              <w:top w:val="single" w:color="auto" w:sz="6" w:space="0"/>
              <w:left w:val="single" w:color="auto" w:sz="6" w:space="0"/>
              <w:bottom w:val="single" w:color="auto" w:sz="6" w:space="0"/>
              <w:right w:val="single" w:color="auto" w:sz="6" w:space="0"/>
            </w:tcBorders>
            <w:noWrap w:val="0"/>
            <w:vAlign w:val="center"/>
          </w:tcPr>
          <w:p w14:paraId="64782877">
            <w:pPr>
              <w:rPr>
                <w:rFonts w:ascii="仿宋" w:hAnsi="仿宋" w:eastAsia="仿宋" w:cs="仿宋"/>
                <w:sz w:val="24"/>
                <w:szCs w:val="24"/>
                <w:highlight w:val="none"/>
              </w:rPr>
            </w:pPr>
            <w:bookmarkStart w:id="43" w:name="_Toc497727767"/>
            <w:r>
              <w:rPr>
                <w:rFonts w:hint="eastAsia" w:ascii="仿宋" w:hAnsi="仿宋" w:eastAsia="仿宋" w:cs="仿宋"/>
                <w:sz w:val="24"/>
                <w:szCs w:val="24"/>
                <w:highlight w:val="none"/>
              </w:rPr>
              <w:t>技术职称</w:t>
            </w:r>
            <w:bookmarkEnd w:id="43"/>
          </w:p>
        </w:tc>
        <w:tc>
          <w:tcPr>
            <w:tcW w:w="1320" w:type="dxa"/>
            <w:tcBorders>
              <w:top w:val="single" w:color="auto" w:sz="6" w:space="0"/>
              <w:left w:val="single" w:color="auto" w:sz="6" w:space="0"/>
              <w:bottom w:val="single" w:color="auto" w:sz="6" w:space="0"/>
              <w:right w:val="single" w:color="auto" w:sz="6" w:space="0"/>
            </w:tcBorders>
            <w:noWrap w:val="0"/>
            <w:vAlign w:val="center"/>
          </w:tcPr>
          <w:p w14:paraId="1DF928F4">
            <w:pPr>
              <w:rPr>
                <w:rFonts w:ascii="仿宋" w:hAnsi="仿宋" w:eastAsia="仿宋" w:cs="仿宋"/>
                <w:sz w:val="24"/>
                <w:szCs w:val="24"/>
                <w:highlight w:val="none"/>
              </w:rPr>
            </w:pPr>
          </w:p>
        </w:tc>
        <w:tc>
          <w:tcPr>
            <w:tcW w:w="850" w:type="dxa"/>
            <w:gridSpan w:val="2"/>
            <w:tcBorders>
              <w:top w:val="single" w:color="auto" w:sz="6" w:space="0"/>
              <w:left w:val="single" w:color="auto" w:sz="6" w:space="0"/>
              <w:bottom w:val="single" w:color="auto" w:sz="6" w:space="0"/>
              <w:right w:val="single" w:color="auto" w:sz="6" w:space="0"/>
            </w:tcBorders>
            <w:noWrap w:val="0"/>
            <w:vAlign w:val="center"/>
          </w:tcPr>
          <w:p w14:paraId="342400CE">
            <w:pPr>
              <w:rPr>
                <w:rFonts w:ascii="仿宋" w:hAnsi="仿宋" w:eastAsia="仿宋" w:cs="仿宋"/>
                <w:sz w:val="24"/>
                <w:szCs w:val="24"/>
                <w:highlight w:val="none"/>
              </w:rPr>
            </w:pPr>
            <w:bookmarkStart w:id="44" w:name="_Toc497727768"/>
            <w:r>
              <w:rPr>
                <w:rFonts w:hint="eastAsia" w:ascii="仿宋" w:hAnsi="仿宋" w:eastAsia="仿宋" w:cs="仿宋"/>
                <w:sz w:val="24"/>
                <w:szCs w:val="24"/>
                <w:highlight w:val="none"/>
              </w:rPr>
              <w:t>电话</w:t>
            </w:r>
            <w:bookmarkEnd w:id="44"/>
          </w:p>
        </w:tc>
        <w:tc>
          <w:tcPr>
            <w:tcW w:w="1080" w:type="dxa"/>
            <w:tcBorders>
              <w:top w:val="single" w:color="auto" w:sz="6" w:space="0"/>
              <w:left w:val="single" w:color="auto" w:sz="6" w:space="0"/>
              <w:bottom w:val="single" w:color="auto" w:sz="6" w:space="0"/>
              <w:right w:val="single" w:color="auto" w:sz="18" w:space="0"/>
            </w:tcBorders>
            <w:noWrap w:val="0"/>
            <w:vAlign w:val="center"/>
          </w:tcPr>
          <w:p w14:paraId="01901A45">
            <w:pPr>
              <w:rPr>
                <w:rFonts w:ascii="仿宋" w:hAnsi="仿宋" w:eastAsia="仿宋" w:cs="仿宋"/>
                <w:sz w:val="24"/>
                <w:szCs w:val="24"/>
                <w:highlight w:val="none"/>
              </w:rPr>
            </w:pPr>
          </w:p>
        </w:tc>
      </w:tr>
      <w:tr w14:paraId="621792B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tcBorders>
              <w:top w:val="single" w:color="auto" w:sz="6" w:space="0"/>
              <w:left w:val="single" w:color="auto" w:sz="18" w:space="0"/>
              <w:bottom w:val="single" w:color="auto" w:sz="6" w:space="0"/>
              <w:right w:val="single" w:color="auto" w:sz="6" w:space="0"/>
            </w:tcBorders>
            <w:noWrap w:val="0"/>
            <w:vAlign w:val="center"/>
          </w:tcPr>
          <w:p w14:paraId="6DF6A191">
            <w:pPr>
              <w:rPr>
                <w:rFonts w:ascii="仿宋" w:hAnsi="仿宋" w:eastAsia="仿宋" w:cs="仿宋"/>
                <w:sz w:val="24"/>
                <w:szCs w:val="24"/>
                <w:highlight w:val="none"/>
              </w:rPr>
            </w:pPr>
            <w:bookmarkStart w:id="45" w:name="_Toc497727769"/>
            <w:r>
              <w:rPr>
                <w:rFonts w:hint="eastAsia" w:ascii="仿宋" w:hAnsi="仿宋" w:eastAsia="仿宋" w:cs="仿宋"/>
                <w:sz w:val="24"/>
                <w:szCs w:val="24"/>
                <w:highlight w:val="none"/>
              </w:rPr>
              <w:t>成立时间</w:t>
            </w:r>
            <w:bookmarkEnd w:id="45"/>
          </w:p>
        </w:tc>
        <w:tc>
          <w:tcPr>
            <w:tcW w:w="2196" w:type="dxa"/>
            <w:gridSpan w:val="2"/>
            <w:tcBorders>
              <w:top w:val="single" w:color="auto" w:sz="6" w:space="0"/>
              <w:left w:val="single" w:color="auto" w:sz="6" w:space="0"/>
              <w:bottom w:val="single" w:color="auto" w:sz="6" w:space="0"/>
              <w:right w:val="single" w:color="auto" w:sz="6" w:space="0"/>
            </w:tcBorders>
            <w:noWrap w:val="0"/>
            <w:vAlign w:val="center"/>
          </w:tcPr>
          <w:p w14:paraId="68756A47">
            <w:pPr>
              <w:rPr>
                <w:rFonts w:ascii="仿宋" w:hAnsi="仿宋" w:eastAsia="仿宋" w:cs="仿宋"/>
                <w:sz w:val="24"/>
                <w:szCs w:val="24"/>
                <w:highlight w:val="none"/>
              </w:rPr>
            </w:pPr>
          </w:p>
        </w:tc>
        <w:tc>
          <w:tcPr>
            <w:tcW w:w="4497" w:type="dxa"/>
            <w:gridSpan w:val="5"/>
            <w:tcBorders>
              <w:top w:val="single" w:color="auto" w:sz="6" w:space="0"/>
              <w:left w:val="single" w:color="auto" w:sz="6" w:space="0"/>
              <w:bottom w:val="single" w:color="auto" w:sz="6" w:space="0"/>
              <w:right w:val="single" w:color="auto" w:sz="18" w:space="0"/>
            </w:tcBorders>
            <w:noWrap w:val="0"/>
            <w:vAlign w:val="center"/>
          </w:tcPr>
          <w:p w14:paraId="2F4460C5">
            <w:pPr>
              <w:rPr>
                <w:rFonts w:ascii="仿宋" w:hAnsi="仿宋" w:eastAsia="仿宋" w:cs="仿宋"/>
                <w:sz w:val="24"/>
                <w:szCs w:val="24"/>
                <w:highlight w:val="none"/>
              </w:rPr>
            </w:pPr>
            <w:bookmarkStart w:id="46" w:name="_Toc497727770"/>
            <w:r>
              <w:rPr>
                <w:rFonts w:hint="eastAsia" w:ascii="仿宋" w:hAnsi="仿宋" w:eastAsia="仿宋" w:cs="仿宋"/>
                <w:sz w:val="24"/>
                <w:szCs w:val="24"/>
                <w:highlight w:val="none"/>
              </w:rPr>
              <w:t>员工总人数：</w:t>
            </w:r>
            <w:bookmarkEnd w:id="46"/>
          </w:p>
        </w:tc>
      </w:tr>
      <w:tr w14:paraId="1C69A2F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tcBorders>
              <w:top w:val="single" w:color="auto" w:sz="6" w:space="0"/>
              <w:left w:val="single" w:color="auto" w:sz="18" w:space="0"/>
              <w:bottom w:val="single" w:color="auto" w:sz="6" w:space="0"/>
              <w:right w:val="single" w:color="auto" w:sz="6" w:space="0"/>
            </w:tcBorders>
            <w:noWrap w:val="0"/>
            <w:vAlign w:val="center"/>
          </w:tcPr>
          <w:p w14:paraId="1D7E0BC6">
            <w:pPr>
              <w:rPr>
                <w:rFonts w:ascii="仿宋" w:hAnsi="仿宋" w:eastAsia="仿宋" w:cs="仿宋"/>
                <w:sz w:val="24"/>
                <w:szCs w:val="24"/>
                <w:highlight w:val="none"/>
              </w:rPr>
            </w:pPr>
            <w:bookmarkStart w:id="47" w:name="_Toc497727771"/>
            <w:r>
              <w:rPr>
                <w:rFonts w:hint="eastAsia" w:ascii="仿宋" w:hAnsi="仿宋" w:eastAsia="仿宋" w:cs="仿宋"/>
                <w:sz w:val="24"/>
                <w:szCs w:val="24"/>
                <w:highlight w:val="none"/>
              </w:rPr>
              <w:t>企业资质等级</w:t>
            </w:r>
            <w:bookmarkEnd w:id="47"/>
          </w:p>
        </w:tc>
        <w:tc>
          <w:tcPr>
            <w:tcW w:w="2196" w:type="dxa"/>
            <w:gridSpan w:val="2"/>
            <w:tcBorders>
              <w:top w:val="single" w:color="auto" w:sz="6" w:space="0"/>
              <w:left w:val="single" w:color="auto" w:sz="6" w:space="0"/>
              <w:bottom w:val="single" w:color="auto" w:sz="6" w:space="0"/>
              <w:right w:val="single" w:color="auto" w:sz="6" w:space="0"/>
            </w:tcBorders>
            <w:noWrap w:val="0"/>
            <w:vAlign w:val="center"/>
          </w:tcPr>
          <w:p w14:paraId="3FB0F2AA">
            <w:pPr>
              <w:rPr>
                <w:rFonts w:ascii="仿宋" w:hAnsi="仿宋" w:eastAsia="仿宋" w:cs="仿宋"/>
                <w:sz w:val="24"/>
                <w:szCs w:val="24"/>
                <w:highlight w:val="none"/>
              </w:rPr>
            </w:pPr>
          </w:p>
        </w:tc>
        <w:tc>
          <w:tcPr>
            <w:tcW w:w="1247" w:type="dxa"/>
            <w:vMerge w:val="restart"/>
            <w:tcBorders>
              <w:top w:val="single" w:color="auto" w:sz="6" w:space="0"/>
              <w:left w:val="single" w:color="auto" w:sz="6" w:space="0"/>
              <w:bottom w:val="single" w:color="auto" w:sz="6" w:space="0"/>
              <w:right w:val="single" w:color="auto" w:sz="6" w:space="0"/>
            </w:tcBorders>
            <w:noWrap w:val="0"/>
            <w:vAlign w:val="center"/>
          </w:tcPr>
          <w:p w14:paraId="5685C6A1">
            <w:pPr>
              <w:rPr>
                <w:rFonts w:ascii="仿宋" w:hAnsi="仿宋" w:eastAsia="仿宋" w:cs="仿宋"/>
                <w:sz w:val="24"/>
                <w:szCs w:val="24"/>
                <w:highlight w:val="none"/>
              </w:rPr>
            </w:pPr>
            <w:bookmarkStart w:id="48" w:name="_Toc497727772"/>
            <w:r>
              <w:rPr>
                <w:rFonts w:hint="eastAsia" w:ascii="仿宋" w:hAnsi="仿宋" w:eastAsia="仿宋" w:cs="仿宋"/>
                <w:sz w:val="24"/>
                <w:szCs w:val="24"/>
                <w:highlight w:val="none"/>
              </w:rPr>
              <w:t>其中</w:t>
            </w:r>
            <w:bookmarkEnd w:id="48"/>
          </w:p>
        </w:tc>
        <w:tc>
          <w:tcPr>
            <w:tcW w:w="1478" w:type="dxa"/>
            <w:gridSpan w:val="2"/>
            <w:tcBorders>
              <w:top w:val="single" w:color="auto" w:sz="6" w:space="0"/>
              <w:left w:val="single" w:color="auto" w:sz="6" w:space="0"/>
              <w:bottom w:val="single" w:color="auto" w:sz="6" w:space="0"/>
              <w:right w:val="single" w:color="auto" w:sz="6" w:space="0"/>
            </w:tcBorders>
            <w:noWrap w:val="0"/>
            <w:vAlign w:val="center"/>
          </w:tcPr>
          <w:p w14:paraId="7985EFFE">
            <w:pPr>
              <w:rPr>
                <w:rFonts w:ascii="仿宋" w:hAnsi="仿宋" w:eastAsia="仿宋" w:cs="仿宋"/>
                <w:sz w:val="24"/>
                <w:szCs w:val="24"/>
                <w:highlight w:val="none"/>
              </w:rPr>
            </w:pPr>
            <w:bookmarkStart w:id="49" w:name="_Toc497727773"/>
            <w:r>
              <w:rPr>
                <w:rFonts w:hint="eastAsia" w:ascii="仿宋" w:hAnsi="仿宋" w:eastAsia="仿宋" w:cs="仿宋"/>
                <w:sz w:val="24"/>
                <w:szCs w:val="24"/>
                <w:highlight w:val="none"/>
              </w:rPr>
              <w:t>项目经理</w:t>
            </w:r>
            <w:bookmarkEnd w:id="49"/>
          </w:p>
        </w:tc>
        <w:tc>
          <w:tcPr>
            <w:tcW w:w="1772" w:type="dxa"/>
            <w:gridSpan w:val="2"/>
            <w:tcBorders>
              <w:top w:val="single" w:color="auto" w:sz="6" w:space="0"/>
              <w:left w:val="single" w:color="auto" w:sz="6" w:space="0"/>
              <w:bottom w:val="single" w:color="auto" w:sz="6" w:space="0"/>
              <w:right w:val="single" w:color="auto" w:sz="18" w:space="0"/>
            </w:tcBorders>
            <w:noWrap w:val="0"/>
            <w:vAlign w:val="center"/>
          </w:tcPr>
          <w:p w14:paraId="3BA04181">
            <w:pPr>
              <w:rPr>
                <w:rFonts w:ascii="仿宋" w:hAnsi="仿宋" w:eastAsia="仿宋" w:cs="仿宋"/>
                <w:sz w:val="24"/>
                <w:szCs w:val="24"/>
                <w:highlight w:val="none"/>
              </w:rPr>
            </w:pPr>
          </w:p>
        </w:tc>
      </w:tr>
      <w:tr w14:paraId="3361554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tcBorders>
              <w:top w:val="single" w:color="auto" w:sz="6" w:space="0"/>
              <w:left w:val="single" w:color="auto" w:sz="18" w:space="0"/>
              <w:bottom w:val="single" w:color="auto" w:sz="6" w:space="0"/>
              <w:right w:val="single" w:color="auto" w:sz="6" w:space="0"/>
            </w:tcBorders>
            <w:noWrap w:val="0"/>
            <w:vAlign w:val="center"/>
          </w:tcPr>
          <w:p w14:paraId="23F431B2">
            <w:pPr>
              <w:rPr>
                <w:rFonts w:ascii="仿宋" w:hAnsi="仿宋" w:eastAsia="仿宋" w:cs="仿宋"/>
                <w:sz w:val="24"/>
                <w:szCs w:val="24"/>
                <w:highlight w:val="none"/>
              </w:rPr>
            </w:pPr>
            <w:bookmarkStart w:id="50" w:name="_Toc497727774"/>
            <w:r>
              <w:rPr>
                <w:rFonts w:hint="eastAsia" w:ascii="仿宋" w:hAnsi="仿宋" w:eastAsia="仿宋" w:cs="仿宋"/>
                <w:sz w:val="24"/>
                <w:szCs w:val="24"/>
                <w:highlight w:val="none"/>
              </w:rPr>
              <w:t>营业执照号</w:t>
            </w:r>
            <w:bookmarkEnd w:id="50"/>
          </w:p>
        </w:tc>
        <w:tc>
          <w:tcPr>
            <w:tcW w:w="2196" w:type="dxa"/>
            <w:gridSpan w:val="2"/>
            <w:tcBorders>
              <w:top w:val="single" w:color="auto" w:sz="6" w:space="0"/>
              <w:left w:val="single" w:color="auto" w:sz="6" w:space="0"/>
              <w:bottom w:val="single" w:color="auto" w:sz="6" w:space="0"/>
              <w:right w:val="single" w:color="auto" w:sz="6" w:space="0"/>
            </w:tcBorders>
            <w:noWrap w:val="0"/>
            <w:vAlign w:val="center"/>
          </w:tcPr>
          <w:p w14:paraId="152E5FA3">
            <w:pPr>
              <w:rPr>
                <w:rFonts w:ascii="仿宋" w:hAnsi="仿宋" w:eastAsia="仿宋" w:cs="仿宋"/>
                <w:sz w:val="24"/>
                <w:szCs w:val="24"/>
                <w:highlight w:val="none"/>
              </w:rPr>
            </w:pPr>
          </w:p>
        </w:tc>
        <w:tc>
          <w:tcPr>
            <w:tcW w:w="1247" w:type="dxa"/>
            <w:vMerge w:val="continue"/>
            <w:tcBorders>
              <w:top w:val="single" w:color="auto" w:sz="6" w:space="0"/>
              <w:left w:val="single" w:color="auto" w:sz="6" w:space="0"/>
              <w:bottom w:val="single" w:color="auto" w:sz="6" w:space="0"/>
              <w:right w:val="single" w:color="auto" w:sz="6" w:space="0"/>
            </w:tcBorders>
            <w:noWrap w:val="0"/>
            <w:vAlign w:val="center"/>
          </w:tcPr>
          <w:p w14:paraId="3DA9361D">
            <w:pPr>
              <w:rPr>
                <w:rFonts w:ascii="仿宋" w:hAnsi="仿宋" w:eastAsia="仿宋" w:cs="仿宋"/>
                <w:sz w:val="24"/>
                <w:szCs w:val="24"/>
                <w:highlight w:val="none"/>
              </w:rPr>
            </w:pPr>
          </w:p>
        </w:tc>
        <w:tc>
          <w:tcPr>
            <w:tcW w:w="1478" w:type="dxa"/>
            <w:gridSpan w:val="2"/>
            <w:tcBorders>
              <w:top w:val="single" w:color="auto" w:sz="6" w:space="0"/>
              <w:left w:val="single" w:color="auto" w:sz="6" w:space="0"/>
              <w:bottom w:val="single" w:color="auto" w:sz="6" w:space="0"/>
              <w:right w:val="single" w:color="auto" w:sz="6" w:space="0"/>
            </w:tcBorders>
            <w:noWrap w:val="0"/>
            <w:vAlign w:val="center"/>
          </w:tcPr>
          <w:p w14:paraId="6D63CCDF">
            <w:pPr>
              <w:rPr>
                <w:rFonts w:ascii="仿宋" w:hAnsi="仿宋" w:eastAsia="仿宋" w:cs="仿宋"/>
                <w:sz w:val="24"/>
                <w:szCs w:val="24"/>
                <w:highlight w:val="none"/>
              </w:rPr>
            </w:pPr>
            <w:bookmarkStart w:id="51" w:name="_Toc497727775"/>
            <w:r>
              <w:rPr>
                <w:rFonts w:hint="eastAsia" w:ascii="仿宋" w:hAnsi="仿宋" w:eastAsia="仿宋" w:cs="仿宋"/>
                <w:sz w:val="24"/>
                <w:szCs w:val="24"/>
                <w:highlight w:val="none"/>
              </w:rPr>
              <w:t>高级职称人员</w:t>
            </w:r>
            <w:bookmarkEnd w:id="51"/>
          </w:p>
        </w:tc>
        <w:tc>
          <w:tcPr>
            <w:tcW w:w="1772" w:type="dxa"/>
            <w:gridSpan w:val="2"/>
            <w:tcBorders>
              <w:top w:val="single" w:color="auto" w:sz="6" w:space="0"/>
              <w:left w:val="single" w:color="auto" w:sz="6" w:space="0"/>
              <w:bottom w:val="single" w:color="auto" w:sz="6" w:space="0"/>
              <w:right w:val="single" w:color="auto" w:sz="18" w:space="0"/>
            </w:tcBorders>
            <w:noWrap w:val="0"/>
            <w:vAlign w:val="center"/>
          </w:tcPr>
          <w:p w14:paraId="748E49BF">
            <w:pPr>
              <w:rPr>
                <w:rFonts w:ascii="仿宋" w:hAnsi="仿宋" w:eastAsia="仿宋" w:cs="仿宋"/>
                <w:sz w:val="24"/>
                <w:szCs w:val="24"/>
                <w:highlight w:val="none"/>
              </w:rPr>
            </w:pPr>
          </w:p>
        </w:tc>
      </w:tr>
      <w:tr w14:paraId="582EC79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tcBorders>
              <w:top w:val="single" w:color="auto" w:sz="6" w:space="0"/>
              <w:left w:val="single" w:color="auto" w:sz="18" w:space="0"/>
              <w:bottom w:val="single" w:color="auto" w:sz="6" w:space="0"/>
              <w:right w:val="single" w:color="auto" w:sz="6" w:space="0"/>
            </w:tcBorders>
            <w:noWrap w:val="0"/>
            <w:vAlign w:val="center"/>
          </w:tcPr>
          <w:p w14:paraId="5FB309A2">
            <w:pPr>
              <w:rPr>
                <w:rFonts w:ascii="仿宋" w:hAnsi="仿宋" w:eastAsia="仿宋" w:cs="仿宋"/>
                <w:sz w:val="24"/>
                <w:szCs w:val="24"/>
                <w:highlight w:val="none"/>
              </w:rPr>
            </w:pPr>
            <w:bookmarkStart w:id="52" w:name="_Toc497727776"/>
            <w:r>
              <w:rPr>
                <w:rFonts w:hint="eastAsia" w:ascii="仿宋" w:hAnsi="仿宋" w:eastAsia="仿宋" w:cs="仿宋"/>
                <w:sz w:val="24"/>
                <w:szCs w:val="24"/>
                <w:highlight w:val="none"/>
              </w:rPr>
              <w:t>注册资金</w:t>
            </w:r>
            <w:bookmarkEnd w:id="52"/>
          </w:p>
        </w:tc>
        <w:tc>
          <w:tcPr>
            <w:tcW w:w="2196" w:type="dxa"/>
            <w:gridSpan w:val="2"/>
            <w:tcBorders>
              <w:top w:val="single" w:color="auto" w:sz="6" w:space="0"/>
              <w:left w:val="single" w:color="auto" w:sz="6" w:space="0"/>
              <w:bottom w:val="single" w:color="auto" w:sz="6" w:space="0"/>
              <w:right w:val="single" w:color="auto" w:sz="6" w:space="0"/>
            </w:tcBorders>
            <w:noWrap w:val="0"/>
            <w:vAlign w:val="center"/>
          </w:tcPr>
          <w:p w14:paraId="22DB1A21">
            <w:pPr>
              <w:rPr>
                <w:rFonts w:ascii="仿宋" w:hAnsi="仿宋" w:eastAsia="仿宋" w:cs="仿宋"/>
                <w:sz w:val="24"/>
                <w:szCs w:val="24"/>
                <w:highlight w:val="none"/>
              </w:rPr>
            </w:pPr>
          </w:p>
        </w:tc>
        <w:tc>
          <w:tcPr>
            <w:tcW w:w="1247" w:type="dxa"/>
            <w:vMerge w:val="continue"/>
            <w:tcBorders>
              <w:top w:val="single" w:color="auto" w:sz="6" w:space="0"/>
              <w:left w:val="single" w:color="auto" w:sz="6" w:space="0"/>
              <w:bottom w:val="single" w:color="auto" w:sz="6" w:space="0"/>
              <w:right w:val="single" w:color="auto" w:sz="6" w:space="0"/>
            </w:tcBorders>
            <w:noWrap w:val="0"/>
            <w:vAlign w:val="center"/>
          </w:tcPr>
          <w:p w14:paraId="7FF9105F">
            <w:pPr>
              <w:rPr>
                <w:rFonts w:ascii="仿宋" w:hAnsi="仿宋" w:eastAsia="仿宋" w:cs="仿宋"/>
                <w:sz w:val="24"/>
                <w:szCs w:val="24"/>
                <w:highlight w:val="none"/>
              </w:rPr>
            </w:pPr>
          </w:p>
        </w:tc>
        <w:tc>
          <w:tcPr>
            <w:tcW w:w="1478" w:type="dxa"/>
            <w:gridSpan w:val="2"/>
            <w:tcBorders>
              <w:top w:val="single" w:color="auto" w:sz="6" w:space="0"/>
              <w:left w:val="single" w:color="auto" w:sz="6" w:space="0"/>
              <w:bottom w:val="single" w:color="auto" w:sz="6" w:space="0"/>
              <w:right w:val="single" w:color="auto" w:sz="6" w:space="0"/>
            </w:tcBorders>
            <w:noWrap w:val="0"/>
            <w:vAlign w:val="center"/>
          </w:tcPr>
          <w:p w14:paraId="4D55BE3C">
            <w:pPr>
              <w:rPr>
                <w:rFonts w:ascii="仿宋" w:hAnsi="仿宋" w:eastAsia="仿宋" w:cs="仿宋"/>
                <w:sz w:val="24"/>
                <w:szCs w:val="24"/>
                <w:highlight w:val="none"/>
              </w:rPr>
            </w:pPr>
            <w:bookmarkStart w:id="53" w:name="_Toc497727777"/>
            <w:r>
              <w:rPr>
                <w:rFonts w:hint="eastAsia" w:ascii="仿宋" w:hAnsi="仿宋" w:eastAsia="仿宋" w:cs="仿宋"/>
                <w:sz w:val="24"/>
                <w:szCs w:val="24"/>
                <w:highlight w:val="none"/>
              </w:rPr>
              <w:t>中级职称人员</w:t>
            </w:r>
            <w:bookmarkEnd w:id="53"/>
          </w:p>
        </w:tc>
        <w:tc>
          <w:tcPr>
            <w:tcW w:w="1772" w:type="dxa"/>
            <w:gridSpan w:val="2"/>
            <w:tcBorders>
              <w:top w:val="single" w:color="auto" w:sz="6" w:space="0"/>
              <w:left w:val="single" w:color="auto" w:sz="6" w:space="0"/>
              <w:bottom w:val="single" w:color="auto" w:sz="6" w:space="0"/>
              <w:right w:val="single" w:color="auto" w:sz="18" w:space="0"/>
            </w:tcBorders>
            <w:noWrap w:val="0"/>
            <w:vAlign w:val="center"/>
          </w:tcPr>
          <w:p w14:paraId="6EB097AE">
            <w:pPr>
              <w:rPr>
                <w:rFonts w:ascii="仿宋" w:hAnsi="仿宋" w:eastAsia="仿宋" w:cs="仿宋"/>
                <w:sz w:val="24"/>
                <w:szCs w:val="24"/>
                <w:highlight w:val="none"/>
              </w:rPr>
            </w:pPr>
          </w:p>
        </w:tc>
      </w:tr>
      <w:tr w14:paraId="1D03FC4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tcBorders>
              <w:top w:val="single" w:color="auto" w:sz="6" w:space="0"/>
              <w:left w:val="single" w:color="auto" w:sz="18" w:space="0"/>
              <w:bottom w:val="single" w:color="auto" w:sz="6" w:space="0"/>
              <w:right w:val="single" w:color="auto" w:sz="6" w:space="0"/>
            </w:tcBorders>
            <w:noWrap w:val="0"/>
            <w:vAlign w:val="center"/>
          </w:tcPr>
          <w:p w14:paraId="5A6C44AC">
            <w:pPr>
              <w:rPr>
                <w:rFonts w:ascii="仿宋" w:hAnsi="仿宋" w:eastAsia="仿宋" w:cs="仿宋"/>
                <w:sz w:val="24"/>
                <w:szCs w:val="24"/>
                <w:highlight w:val="none"/>
              </w:rPr>
            </w:pPr>
            <w:bookmarkStart w:id="54" w:name="_Toc497727778"/>
            <w:r>
              <w:rPr>
                <w:rFonts w:hint="eastAsia" w:ascii="仿宋" w:hAnsi="仿宋" w:eastAsia="仿宋" w:cs="仿宋"/>
                <w:sz w:val="24"/>
                <w:szCs w:val="24"/>
                <w:highlight w:val="none"/>
              </w:rPr>
              <w:t>开户银行</w:t>
            </w:r>
            <w:bookmarkEnd w:id="54"/>
          </w:p>
        </w:tc>
        <w:tc>
          <w:tcPr>
            <w:tcW w:w="2196" w:type="dxa"/>
            <w:gridSpan w:val="2"/>
            <w:tcBorders>
              <w:top w:val="single" w:color="auto" w:sz="6" w:space="0"/>
              <w:left w:val="single" w:color="auto" w:sz="6" w:space="0"/>
              <w:bottom w:val="single" w:color="auto" w:sz="6" w:space="0"/>
              <w:right w:val="single" w:color="auto" w:sz="6" w:space="0"/>
            </w:tcBorders>
            <w:noWrap w:val="0"/>
            <w:vAlign w:val="center"/>
          </w:tcPr>
          <w:p w14:paraId="02123A80">
            <w:pPr>
              <w:rPr>
                <w:rFonts w:ascii="仿宋" w:hAnsi="仿宋" w:eastAsia="仿宋" w:cs="仿宋"/>
                <w:sz w:val="24"/>
                <w:szCs w:val="24"/>
                <w:highlight w:val="none"/>
              </w:rPr>
            </w:pPr>
          </w:p>
        </w:tc>
        <w:tc>
          <w:tcPr>
            <w:tcW w:w="1247" w:type="dxa"/>
            <w:vMerge w:val="continue"/>
            <w:tcBorders>
              <w:top w:val="single" w:color="auto" w:sz="6" w:space="0"/>
              <w:left w:val="single" w:color="auto" w:sz="6" w:space="0"/>
              <w:bottom w:val="single" w:color="auto" w:sz="6" w:space="0"/>
              <w:right w:val="single" w:color="auto" w:sz="6" w:space="0"/>
            </w:tcBorders>
            <w:noWrap w:val="0"/>
            <w:vAlign w:val="center"/>
          </w:tcPr>
          <w:p w14:paraId="68355292">
            <w:pPr>
              <w:rPr>
                <w:rFonts w:ascii="仿宋" w:hAnsi="仿宋" w:eastAsia="仿宋" w:cs="仿宋"/>
                <w:sz w:val="24"/>
                <w:szCs w:val="24"/>
                <w:highlight w:val="none"/>
              </w:rPr>
            </w:pPr>
          </w:p>
        </w:tc>
        <w:tc>
          <w:tcPr>
            <w:tcW w:w="1478" w:type="dxa"/>
            <w:gridSpan w:val="2"/>
            <w:tcBorders>
              <w:top w:val="single" w:color="auto" w:sz="6" w:space="0"/>
              <w:left w:val="single" w:color="auto" w:sz="6" w:space="0"/>
              <w:bottom w:val="single" w:color="auto" w:sz="6" w:space="0"/>
              <w:right w:val="single" w:color="auto" w:sz="6" w:space="0"/>
            </w:tcBorders>
            <w:noWrap w:val="0"/>
            <w:vAlign w:val="center"/>
          </w:tcPr>
          <w:p w14:paraId="6FCFAD72">
            <w:pPr>
              <w:rPr>
                <w:rFonts w:ascii="仿宋" w:hAnsi="仿宋" w:eastAsia="仿宋" w:cs="仿宋"/>
                <w:sz w:val="24"/>
                <w:szCs w:val="24"/>
                <w:highlight w:val="none"/>
              </w:rPr>
            </w:pPr>
            <w:bookmarkStart w:id="55" w:name="_Toc497727779"/>
            <w:r>
              <w:rPr>
                <w:rFonts w:hint="eastAsia" w:ascii="仿宋" w:hAnsi="仿宋" w:eastAsia="仿宋" w:cs="仿宋"/>
                <w:sz w:val="24"/>
                <w:szCs w:val="24"/>
                <w:highlight w:val="none"/>
              </w:rPr>
              <w:t>初级职称人员</w:t>
            </w:r>
            <w:bookmarkEnd w:id="55"/>
          </w:p>
        </w:tc>
        <w:tc>
          <w:tcPr>
            <w:tcW w:w="1772" w:type="dxa"/>
            <w:gridSpan w:val="2"/>
            <w:tcBorders>
              <w:top w:val="single" w:color="auto" w:sz="6" w:space="0"/>
              <w:left w:val="single" w:color="auto" w:sz="6" w:space="0"/>
              <w:bottom w:val="single" w:color="auto" w:sz="6" w:space="0"/>
              <w:right w:val="single" w:color="auto" w:sz="18" w:space="0"/>
            </w:tcBorders>
            <w:noWrap w:val="0"/>
            <w:vAlign w:val="center"/>
          </w:tcPr>
          <w:p w14:paraId="3E35BAD4">
            <w:pPr>
              <w:rPr>
                <w:rFonts w:ascii="仿宋" w:hAnsi="仿宋" w:eastAsia="仿宋" w:cs="仿宋"/>
                <w:sz w:val="24"/>
                <w:szCs w:val="24"/>
                <w:highlight w:val="none"/>
              </w:rPr>
            </w:pPr>
          </w:p>
        </w:tc>
      </w:tr>
      <w:tr w14:paraId="66A1852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tcBorders>
              <w:top w:val="single" w:color="auto" w:sz="6" w:space="0"/>
              <w:left w:val="single" w:color="auto" w:sz="18" w:space="0"/>
              <w:bottom w:val="single" w:color="auto" w:sz="6" w:space="0"/>
              <w:right w:val="single" w:color="auto" w:sz="6" w:space="0"/>
            </w:tcBorders>
            <w:noWrap w:val="0"/>
            <w:vAlign w:val="center"/>
          </w:tcPr>
          <w:p w14:paraId="1DEF0801">
            <w:pPr>
              <w:rPr>
                <w:rFonts w:ascii="仿宋" w:hAnsi="仿宋" w:eastAsia="仿宋" w:cs="仿宋"/>
                <w:sz w:val="24"/>
                <w:szCs w:val="24"/>
                <w:highlight w:val="none"/>
              </w:rPr>
            </w:pPr>
            <w:bookmarkStart w:id="56" w:name="_Toc497727780"/>
            <w:r>
              <w:rPr>
                <w:rFonts w:hint="eastAsia" w:ascii="仿宋" w:hAnsi="仿宋" w:eastAsia="仿宋" w:cs="仿宋"/>
                <w:sz w:val="24"/>
                <w:szCs w:val="24"/>
                <w:highlight w:val="none"/>
              </w:rPr>
              <w:t>账号</w:t>
            </w:r>
            <w:bookmarkEnd w:id="56"/>
          </w:p>
        </w:tc>
        <w:tc>
          <w:tcPr>
            <w:tcW w:w="2196" w:type="dxa"/>
            <w:gridSpan w:val="2"/>
            <w:tcBorders>
              <w:top w:val="single" w:color="auto" w:sz="6" w:space="0"/>
              <w:left w:val="single" w:color="auto" w:sz="6" w:space="0"/>
              <w:bottom w:val="single" w:color="auto" w:sz="6" w:space="0"/>
              <w:right w:val="single" w:color="auto" w:sz="6" w:space="0"/>
            </w:tcBorders>
            <w:noWrap w:val="0"/>
            <w:vAlign w:val="center"/>
          </w:tcPr>
          <w:p w14:paraId="03DBCE9D">
            <w:pPr>
              <w:rPr>
                <w:rFonts w:ascii="仿宋" w:hAnsi="仿宋" w:eastAsia="仿宋" w:cs="仿宋"/>
                <w:sz w:val="24"/>
                <w:szCs w:val="24"/>
                <w:highlight w:val="none"/>
              </w:rPr>
            </w:pPr>
          </w:p>
        </w:tc>
        <w:tc>
          <w:tcPr>
            <w:tcW w:w="1247" w:type="dxa"/>
            <w:vMerge w:val="continue"/>
            <w:tcBorders>
              <w:top w:val="single" w:color="auto" w:sz="6" w:space="0"/>
              <w:left w:val="single" w:color="auto" w:sz="6" w:space="0"/>
              <w:bottom w:val="single" w:color="auto" w:sz="6" w:space="0"/>
              <w:right w:val="single" w:color="auto" w:sz="6" w:space="0"/>
            </w:tcBorders>
            <w:noWrap w:val="0"/>
            <w:vAlign w:val="center"/>
          </w:tcPr>
          <w:p w14:paraId="2729240C">
            <w:pPr>
              <w:rPr>
                <w:rFonts w:ascii="仿宋" w:hAnsi="仿宋" w:eastAsia="仿宋" w:cs="仿宋"/>
                <w:sz w:val="24"/>
                <w:szCs w:val="24"/>
                <w:highlight w:val="none"/>
              </w:rPr>
            </w:pPr>
          </w:p>
        </w:tc>
        <w:tc>
          <w:tcPr>
            <w:tcW w:w="1478" w:type="dxa"/>
            <w:gridSpan w:val="2"/>
            <w:tcBorders>
              <w:top w:val="single" w:color="auto" w:sz="6" w:space="0"/>
              <w:left w:val="single" w:color="auto" w:sz="6" w:space="0"/>
              <w:bottom w:val="single" w:color="auto" w:sz="6" w:space="0"/>
              <w:right w:val="single" w:color="auto" w:sz="6" w:space="0"/>
            </w:tcBorders>
            <w:noWrap w:val="0"/>
            <w:vAlign w:val="center"/>
          </w:tcPr>
          <w:p w14:paraId="05FADF40">
            <w:pPr>
              <w:rPr>
                <w:rFonts w:ascii="仿宋" w:hAnsi="仿宋" w:eastAsia="仿宋" w:cs="仿宋"/>
                <w:sz w:val="24"/>
                <w:szCs w:val="24"/>
                <w:highlight w:val="none"/>
              </w:rPr>
            </w:pPr>
            <w:bookmarkStart w:id="57" w:name="_Toc497727781"/>
            <w:r>
              <w:rPr>
                <w:rFonts w:hint="eastAsia" w:ascii="仿宋" w:hAnsi="仿宋" w:eastAsia="仿宋" w:cs="仿宋"/>
                <w:sz w:val="24"/>
                <w:szCs w:val="24"/>
                <w:highlight w:val="none"/>
              </w:rPr>
              <w:t>技工</w:t>
            </w:r>
            <w:bookmarkEnd w:id="57"/>
          </w:p>
        </w:tc>
        <w:tc>
          <w:tcPr>
            <w:tcW w:w="1772" w:type="dxa"/>
            <w:gridSpan w:val="2"/>
            <w:tcBorders>
              <w:top w:val="single" w:color="auto" w:sz="6" w:space="0"/>
              <w:left w:val="single" w:color="auto" w:sz="6" w:space="0"/>
              <w:bottom w:val="single" w:color="auto" w:sz="6" w:space="0"/>
              <w:right w:val="single" w:color="auto" w:sz="18" w:space="0"/>
            </w:tcBorders>
            <w:noWrap w:val="0"/>
            <w:vAlign w:val="center"/>
          </w:tcPr>
          <w:p w14:paraId="7C3EC5A1">
            <w:pPr>
              <w:rPr>
                <w:rFonts w:ascii="仿宋" w:hAnsi="仿宋" w:eastAsia="仿宋" w:cs="仿宋"/>
                <w:sz w:val="24"/>
                <w:szCs w:val="24"/>
                <w:highlight w:val="none"/>
              </w:rPr>
            </w:pPr>
          </w:p>
        </w:tc>
      </w:tr>
      <w:tr w14:paraId="6086EBB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01" w:hRule="atLeast"/>
        </w:trPr>
        <w:tc>
          <w:tcPr>
            <w:tcW w:w="1522" w:type="dxa"/>
            <w:tcBorders>
              <w:top w:val="single" w:color="auto" w:sz="6" w:space="0"/>
              <w:left w:val="single" w:color="auto" w:sz="18" w:space="0"/>
              <w:bottom w:val="single" w:color="auto" w:sz="6" w:space="0"/>
              <w:right w:val="single" w:color="auto" w:sz="6" w:space="0"/>
            </w:tcBorders>
            <w:noWrap w:val="0"/>
            <w:vAlign w:val="center"/>
          </w:tcPr>
          <w:p w14:paraId="2DDAB89F">
            <w:pPr>
              <w:rPr>
                <w:rFonts w:ascii="仿宋" w:hAnsi="仿宋" w:eastAsia="仿宋" w:cs="仿宋"/>
                <w:sz w:val="24"/>
                <w:szCs w:val="24"/>
                <w:highlight w:val="none"/>
              </w:rPr>
            </w:pPr>
            <w:bookmarkStart w:id="58" w:name="_Toc497727782"/>
            <w:r>
              <w:rPr>
                <w:rFonts w:hint="eastAsia" w:ascii="仿宋" w:hAnsi="仿宋" w:eastAsia="仿宋" w:cs="仿宋"/>
                <w:sz w:val="24"/>
                <w:szCs w:val="24"/>
                <w:highlight w:val="none"/>
              </w:rPr>
              <w:t>经营范围</w:t>
            </w:r>
            <w:bookmarkEnd w:id="58"/>
          </w:p>
        </w:tc>
        <w:tc>
          <w:tcPr>
            <w:tcW w:w="6693" w:type="dxa"/>
            <w:gridSpan w:val="7"/>
            <w:tcBorders>
              <w:top w:val="single" w:color="auto" w:sz="6" w:space="0"/>
              <w:left w:val="single" w:color="auto" w:sz="6" w:space="0"/>
              <w:bottom w:val="single" w:color="auto" w:sz="6" w:space="0"/>
              <w:right w:val="single" w:color="auto" w:sz="18" w:space="0"/>
            </w:tcBorders>
            <w:noWrap w:val="0"/>
            <w:vAlign w:val="center"/>
          </w:tcPr>
          <w:p w14:paraId="769B12BA">
            <w:pPr>
              <w:rPr>
                <w:rFonts w:ascii="仿宋" w:hAnsi="仿宋" w:eastAsia="仿宋" w:cs="仿宋"/>
                <w:sz w:val="24"/>
                <w:szCs w:val="24"/>
                <w:highlight w:val="none"/>
              </w:rPr>
            </w:pPr>
          </w:p>
        </w:tc>
      </w:tr>
      <w:tr w14:paraId="5243E3C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3" w:hRule="atLeast"/>
        </w:trPr>
        <w:tc>
          <w:tcPr>
            <w:tcW w:w="1522" w:type="dxa"/>
            <w:tcBorders>
              <w:top w:val="single" w:color="auto" w:sz="6" w:space="0"/>
              <w:left w:val="single" w:color="auto" w:sz="18" w:space="0"/>
              <w:bottom w:val="single" w:color="auto" w:sz="18" w:space="0"/>
              <w:right w:val="single" w:color="auto" w:sz="6" w:space="0"/>
            </w:tcBorders>
            <w:noWrap w:val="0"/>
            <w:vAlign w:val="top"/>
          </w:tcPr>
          <w:p w14:paraId="5CC73720">
            <w:pPr>
              <w:rPr>
                <w:rFonts w:ascii="仿宋" w:hAnsi="仿宋" w:eastAsia="仿宋" w:cs="仿宋"/>
                <w:sz w:val="24"/>
                <w:szCs w:val="24"/>
                <w:highlight w:val="none"/>
              </w:rPr>
            </w:pPr>
            <w:bookmarkStart w:id="59" w:name="_Toc497727783"/>
            <w:r>
              <w:rPr>
                <w:rFonts w:hint="eastAsia" w:ascii="仿宋" w:hAnsi="仿宋" w:eastAsia="仿宋" w:cs="仿宋"/>
                <w:sz w:val="24"/>
                <w:szCs w:val="24"/>
                <w:highlight w:val="none"/>
              </w:rPr>
              <w:t>备注</w:t>
            </w:r>
            <w:bookmarkEnd w:id="59"/>
          </w:p>
        </w:tc>
        <w:tc>
          <w:tcPr>
            <w:tcW w:w="6693" w:type="dxa"/>
            <w:gridSpan w:val="7"/>
            <w:tcBorders>
              <w:top w:val="single" w:color="auto" w:sz="6" w:space="0"/>
              <w:left w:val="single" w:color="auto" w:sz="6" w:space="0"/>
              <w:bottom w:val="single" w:color="auto" w:sz="18" w:space="0"/>
              <w:right w:val="single" w:color="auto" w:sz="18" w:space="0"/>
            </w:tcBorders>
            <w:noWrap w:val="0"/>
            <w:vAlign w:val="top"/>
          </w:tcPr>
          <w:p w14:paraId="5AAE93F9">
            <w:pPr>
              <w:rPr>
                <w:rFonts w:ascii="仿宋" w:hAnsi="仿宋" w:eastAsia="仿宋" w:cs="仿宋"/>
                <w:sz w:val="24"/>
                <w:szCs w:val="24"/>
                <w:highlight w:val="none"/>
              </w:rPr>
            </w:pPr>
          </w:p>
        </w:tc>
      </w:tr>
    </w:tbl>
    <w:p w14:paraId="7B31487D">
      <w:pPr>
        <w:widowControl/>
        <w:spacing w:line="360" w:lineRule="auto"/>
        <w:ind w:firstLine="422" w:firstLineChars="200"/>
        <w:jc w:val="left"/>
        <w:rPr>
          <w:rFonts w:ascii="仿宋" w:hAnsi="仿宋" w:eastAsia="仿宋" w:cs="仿宋"/>
          <w:b/>
          <w:sz w:val="21"/>
          <w:szCs w:val="21"/>
          <w:highlight w:val="none"/>
        </w:rPr>
      </w:pPr>
    </w:p>
    <w:p w14:paraId="624CF51E">
      <w:pPr>
        <w:widowControl/>
        <w:spacing w:line="360" w:lineRule="auto"/>
        <w:ind w:firstLine="422" w:firstLineChars="200"/>
        <w:jc w:val="left"/>
        <w:rPr>
          <w:rFonts w:ascii="仿宋" w:hAnsi="仿宋" w:eastAsia="仿宋" w:cs="仿宋"/>
          <w:b/>
          <w:sz w:val="21"/>
          <w:szCs w:val="21"/>
          <w:highlight w:val="none"/>
        </w:rPr>
      </w:pPr>
      <w:r>
        <w:rPr>
          <w:rFonts w:hint="eastAsia" w:ascii="仿宋" w:hAnsi="仿宋" w:eastAsia="仿宋" w:cs="仿宋"/>
          <w:b/>
          <w:sz w:val="21"/>
          <w:szCs w:val="21"/>
          <w:highlight w:val="none"/>
        </w:rPr>
        <w:t>注：1.事业单位或团体组织根据实际情况提供此表信息，若未提供完善信息并不影响其响应文件的资质及效力。</w:t>
      </w:r>
    </w:p>
    <w:p w14:paraId="77776109">
      <w:pPr>
        <w:widowControl/>
        <w:spacing w:line="360" w:lineRule="auto"/>
        <w:ind w:firstLine="422" w:firstLineChars="200"/>
        <w:jc w:val="left"/>
        <w:rPr>
          <w:rFonts w:ascii="仿宋" w:hAnsi="仿宋" w:eastAsia="仿宋" w:cs="仿宋"/>
          <w:b/>
          <w:sz w:val="21"/>
          <w:szCs w:val="21"/>
          <w:highlight w:val="none"/>
        </w:rPr>
      </w:pPr>
      <w:r>
        <w:rPr>
          <w:rFonts w:hint="eastAsia" w:ascii="仿宋" w:hAnsi="仿宋" w:eastAsia="仿宋" w:cs="仿宋"/>
          <w:b/>
          <w:sz w:val="21"/>
          <w:szCs w:val="21"/>
          <w:highlight w:val="none"/>
        </w:rPr>
        <w:t>2.比选申请人对不存在项，填写“/”，并不影响其响应文件的资质及效力。</w:t>
      </w:r>
    </w:p>
    <w:p w14:paraId="3D723C7B">
      <w:pPr>
        <w:widowControl/>
        <w:spacing w:line="360" w:lineRule="auto"/>
        <w:jc w:val="left"/>
        <w:rPr>
          <w:rFonts w:ascii="仿宋" w:hAnsi="仿宋" w:eastAsia="仿宋" w:cs="仿宋"/>
          <w:sz w:val="24"/>
          <w:szCs w:val="24"/>
          <w:highlight w:val="none"/>
        </w:rPr>
      </w:pPr>
    </w:p>
    <w:p w14:paraId="542931E9">
      <w:pPr>
        <w:widowControl/>
        <w:spacing w:line="360" w:lineRule="auto"/>
        <w:jc w:val="left"/>
        <w:rPr>
          <w:rFonts w:ascii="仿宋" w:hAnsi="仿宋" w:eastAsia="仿宋" w:cs="仿宋"/>
          <w:sz w:val="24"/>
          <w:szCs w:val="24"/>
          <w:highlight w:val="none"/>
        </w:rPr>
      </w:pPr>
      <w:r>
        <w:rPr>
          <w:rFonts w:hint="eastAsia" w:ascii="仿宋" w:hAnsi="仿宋" w:eastAsia="仿宋" w:cs="仿宋"/>
          <w:sz w:val="24"/>
          <w:szCs w:val="24"/>
          <w:highlight w:val="none"/>
        </w:rPr>
        <w:t xml:space="preserve">比选申请人名称 （盖章）： </w:t>
      </w:r>
    </w:p>
    <w:p w14:paraId="61A7F8BA">
      <w:pPr>
        <w:widowControl/>
        <w:spacing w:line="360" w:lineRule="auto"/>
        <w:jc w:val="left"/>
        <w:rPr>
          <w:rFonts w:ascii="仿宋" w:hAnsi="仿宋" w:eastAsia="仿宋" w:cs="仿宋"/>
          <w:sz w:val="24"/>
          <w:szCs w:val="24"/>
          <w:highlight w:val="none"/>
        </w:rPr>
      </w:pPr>
      <w:r>
        <w:rPr>
          <w:rFonts w:hint="eastAsia" w:ascii="仿宋" w:hAnsi="仿宋" w:eastAsia="仿宋" w:cs="仿宋"/>
          <w:sz w:val="24"/>
          <w:szCs w:val="24"/>
          <w:highlight w:val="none"/>
        </w:rPr>
        <w:t>法定代表人或授权代表（签字或加盖个人名章）：</w:t>
      </w:r>
    </w:p>
    <w:p w14:paraId="162BD6E2">
      <w:pPr>
        <w:widowControl/>
        <w:spacing w:line="360" w:lineRule="auto"/>
        <w:jc w:val="left"/>
        <w:rPr>
          <w:rFonts w:ascii="仿宋" w:hAnsi="仿宋" w:eastAsia="仿宋" w:cs="仿宋"/>
          <w:sz w:val="24"/>
          <w:szCs w:val="24"/>
          <w:highlight w:val="none"/>
        </w:rPr>
      </w:pPr>
      <w:r>
        <w:rPr>
          <w:rFonts w:hint="eastAsia" w:ascii="仿宋" w:hAnsi="仿宋" w:eastAsia="仿宋" w:cs="仿宋"/>
          <w:sz w:val="24"/>
          <w:szCs w:val="24"/>
          <w:highlight w:val="none"/>
        </w:rPr>
        <w:t>响应日期：</w:t>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年 </w:t>
      </w:r>
      <w:r>
        <w:rPr>
          <w:rFonts w:hint="eastAsia" w:ascii="仿宋" w:hAnsi="仿宋" w:eastAsia="仿宋" w:cs="仿宋"/>
          <w:sz w:val="24"/>
          <w:szCs w:val="24"/>
          <w:highlight w:val="none"/>
        </w:rPr>
        <w:tab/>
      </w:r>
      <w:r>
        <w:rPr>
          <w:rFonts w:hint="eastAsia" w:ascii="仿宋" w:hAnsi="仿宋" w:eastAsia="仿宋" w:cs="仿宋"/>
          <w:sz w:val="24"/>
          <w:szCs w:val="24"/>
          <w:highlight w:val="none"/>
        </w:rPr>
        <w:t>月</w:t>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 日</w:t>
      </w:r>
    </w:p>
    <w:p w14:paraId="3B1030CC">
      <w:pPr>
        <w:widowControl/>
        <w:spacing w:line="360" w:lineRule="auto"/>
        <w:ind w:firstLine="480" w:firstLineChars="200"/>
        <w:jc w:val="left"/>
        <w:rPr>
          <w:rFonts w:ascii="仿宋" w:hAnsi="仿宋" w:eastAsia="仿宋" w:cs="仿宋"/>
          <w:sz w:val="24"/>
          <w:szCs w:val="24"/>
          <w:highlight w:val="none"/>
        </w:rPr>
        <w:sectPr>
          <w:footerReference r:id="rId15" w:type="default"/>
          <w:pgSz w:w="11907" w:h="16840"/>
          <w:pgMar w:top="1440" w:right="1797" w:bottom="1440" w:left="1797" w:header="851" w:footer="850" w:gutter="0"/>
          <w:cols w:space="720" w:num="1"/>
          <w:docGrid w:linePitch="381" w:charSpace="0"/>
        </w:sectPr>
      </w:pPr>
      <w:r>
        <w:rPr>
          <w:rFonts w:hint="eastAsia" w:ascii="仿宋" w:hAnsi="仿宋" w:eastAsia="仿宋" w:cs="仿宋"/>
          <w:sz w:val="24"/>
          <w:szCs w:val="24"/>
          <w:highlight w:val="none"/>
        </w:rPr>
        <w:t xml:space="preserve"> </w:t>
      </w:r>
    </w:p>
    <w:p w14:paraId="77805360">
      <w:pPr>
        <w:pStyle w:val="3"/>
        <w:ind w:firstLine="643"/>
        <w:jc w:val="center"/>
        <w:rPr>
          <w:rFonts w:ascii="仿宋" w:hAnsi="仿宋" w:eastAsia="仿宋" w:cs="仿宋"/>
          <w:sz w:val="32"/>
          <w:szCs w:val="32"/>
          <w:highlight w:val="none"/>
        </w:rPr>
      </w:pPr>
      <w:bookmarkStart w:id="60" w:name="_Toc497923237"/>
      <w:r>
        <w:rPr>
          <w:rFonts w:hint="eastAsia" w:ascii="仿宋" w:hAnsi="仿宋" w:eastAsia="仿宋" w:cs="仿宋"/>
          <w:sz w:val="32"/>
          <w:szCs w:val="32"/>
          <w:highlight w:val="none"/>
        </w:rPr>
        <w:t>九、比选申请人履约经验证明一览表</w:t>
      </w:r>
      <w:bookmarkEnd w:id="60"/>
    </w:p>
    <w:tbl>
      <w:tblPr>
        <w:tblStyle w:val="59"/>
        <w:tblpPr w:leftFromText="180" w:rightFromText="180" w:vertAnchor="text" w:tblpXSpec="center" w:tblpY="1"/>
        <w:tblOverlap w:val="never"/>
        <w:tblW w:w="829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980"/>
        <w:gridCol w:w="1440"/>
        <w:gridCol w:w="1567"/>
        <w:gridCol w:w="1629"/>
        <w:gridCol w:w="1307"/>
        <w:gridCol w:w="1371"/>
      </w:tblGrid>
      <w:tr w14:paraId="068686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80" w:type="dxa"/>
            <w:tcBorders>
              <w:top w:val="single" w:color="auto" w:sz="4" w:space="0"/>
              <w:left w:val="single" w:color="auto" w:sz="4" w:space="0"/>
              <w:bottom w:val="single" w:color="auto" w:sz="6" w:space="0"/>
              <w:right w:val="single" w:color="auto" w:sz="6" w:space="0"/>
            </w:tcBorders>
            <w:noWrap w:val="0"/>
            <w:vAlign w:val="center"/>
          </w:tcPr>
          <w:p w14:paraId="7C9858C7">
            <w:pPr>
              <w:jc w:val="center"/>
              <w:rPr>
                <w:rFonts w:ascii="仿宋" w:hAnsi="仿宋" w:eastAsia="仿宋" w:cs="仿宋"/>
                <w:sz w:val="24"/>
                <w:szCs w:val="24"/>
                <w:highlight w:val="none"/>
              </w:rPr>
            </w:pPr>
            <w:bookmarkStart w:id="61" w:name="_Toc497727784"/>
            <w:r>
              <w:rPr>
                <w:rFonts w:hint="eastAsia" w:ascii="仿宋" w:hAnsi="仿宋" w:eastAsia="仿宋" w:cs="仿宋"/>
                <w:sz w:val="24"/>
                <w:szCs w:val="24"/>
                <w:highlight w:val="none"/>
              </w:rPr>
              <w:t>年份</w:t>
            </w:r>
            <w:bookmarkEnd w:id="61"/>
          </w:p>
        </w:tc>
        <w:tc>
          <w:tcPr>
            <w:tcW w:w="1440" w:type="dxa"/>
            <w:tcBorders>
              <w:top w:val="single" w:color="auto" w:sz="4" w:space="0"/>
              <w:left w:val="single" w:color="auto" w:sz="6" w:space="0"/>
              <w:bottom w:val="single" w:color="auto" w:sz="6" w:space="0"/>
              <w:right w:val="single" w:color="auto" w:sz="6" w:space="0"/>
            </w:tcBorders>
            <w:noWrap w:val="0"/>
            <w:vAlign w:val="center"/>
          </w:tcPr>
          <w:p w14:paraId="68CF28C2">
            <w:pPr>
              <w:jc w:val="center"/>
              <w:rPr>
                <w:rFonts w:ascii="仿宋" w:hAnsi="仿宋" w:eastAsia="仿宋" w:cs="仿宋"/>
                <w:sz w:val="24"/>
                <w:szCs w:val="24"/>
                <w:highlight w:val="none"/>
              </w:rPr>
            </w:pPr>
            <w:bookmarkStart w:id="62" w:name="_Toc497727785"/>
            <w:r>
              <w:rPr>
                <w:rFonts w:hint="eastAsia" w:ascii="仿宋" w:hAnsi="仿宋" w:eastAsia="仿宋" w:cs="仿宋"/>
                <w:sz w:val="24"/>
                <w:szCs w:val="24"/>
                <w:highlight w:val="none"/>
              </w:rPr>
              <w:t>用户名称</w:t>
            </w:r>
            <w:bookmarkEnd w:id="62"/>
          </w:p>
        </w:tc>
        <w:tc>
          <w:tcPr>
            <w:tcW w:w="1567" w:type="dxa"/>
            <w:tcBorders>
              <w:top w:val="single" w:color="auto" w:sz="4" w:space="0"/>
              <w:left w:val="single" w:color="auto" w:sz="6" w:space="0"/>
              <w:bottom w:val="single" w:color="auto" w:sz="6" w:space="0"/>
              <w:right w:val="single" w:color="auto" w:sz="6" w:space="0"/>
            </w:tcBorders>
            <w:noWrap w:val="0"/>
            <w:vAlign w:val="center"/>
          </w:tcPr>
          <w:p w14:paraId="4580E233">
            <w:pPr>
              <w:jc w:val="center"/>
              <w:rPr>
                <w:rFonts w:ascii="仿宋" w:hAnsi="仿宋" w:eastAsia="仿宋" w:cs="仿宋"/>
                <w:sz w:val="24"/>
                <w:szCs w:val="24"/>
                <w:highlight w:val="none"/>
              </w:rPr>
            </w:pPr>
            <w:bookmarkStart w:id="63" w:name="_Toc497727786"/>
            <w:r>
              <w:rPr>
                <w:rFonts w:hint="eastAsia" w:ascii="仿宋" w:hAnsi="仿宋" w:eastAsia="仿宋" w:cs="仿宋"/>
                <w:sz w:val="24"/>
                <w:szCs w:val="24"/>
                <w:highlight w:val="none"/>
              </w:rPr>
              <w:t>项目名称</w:t>
            </w:r>
            <w:bookmarkEnd w:id="63"/>
          </w:p>
        </w:tc>
        <w:tc>
          <w:tcPr>
            <w:tcW w:w="1629" w:type="dxa"/>
            <w:tcBorders>
              <w:top w:val="single" w:color="auto" w:sz="4" w:space="0"/>
              <w:left w:val="single" w:color="auto" w:sz="6" w:space="0"/>
              <w:bottom w:val="single" w:color="auto" w:sz="6" w:space="0"/>
              <w:right w:val="single" w:color="auto" w:sz="6" w:space="0"/>
            </w:tcBorders>
            <w:noWrap w:val="0"/>
            <w:vAlign w:val="center"/>
          </w:tcPr>
          <w:p w14:paraId="6916708F">
            <w:pPr>
              <w:jc w:val="center"/>
              <w:rPr>
                <w:rFonts w:ascii="仿宋" w:hAnsi="仿宋" w:eastAsia="仿宋" w:cs="仿宋"/>
                <w:sz w:val="24"/>
                <w:szCs w:val="24"/>
                <w:highlight w:val="none"/>
              </w:rPr>
            </w:pPr>
            <w:bookmarkStart w:id="64" w:name="_Toc497727787"/>
            <w:r>
              <w:rPr>
                <w:rFonts w:hint="eastAsia" w:ascii="仿宋" w:hAnsi="仿宋" w:eastAsia="仿宋" w:cs="仿宋"/>
                <w:sz w:val="24"/>
                <w:szCs w:val="24"/>
                <w:highlight w:val="none"/>
              </w:rPr>
              <w:t>完成时间</w:t>
            </w:r>
            <w:bookmarkEnd w:id="64"/>
          </w:p>
        </w:tc>
        <w:tc>
          <w:tcPr>
            <w:tcW w:w="1307" w:type="dxa"/>
            <w:tcBorders>
              <w:top w:val="single" w:color="auto" w:sz="4" w:space="0"/>
              <w:left w:val="single" w:color="auto" w:sz="6" w:space="0"/>
              <w:bottom w:val="single" w:color="auto" w:sz="6" w:space="0"/>
              <w:right w:val="single" w:color="auto" w:sz="6" w:space="0"/>
            </w:tcBorders>
            <w:noWrap w:val="0"/>
            <w:vAlign w:val="center"/>
          </w:tcPr>
          <w:p w14:paraId="58A0B1C4">
            <w:pPr>
              <w:jc w:val="center"/>
              <w:rPr>
                <w:rFonts w:ascii="仿宋" w:hAnsi="仿宋" w:eastAsia="仿宋" w:cs="仿宋"/>
                <w:sz w:val="24"/>
                <w:szCs w:val="24"/>
                <w:highlight w:val="none"/>
              </w:rPr>
            </w:pPr>
            <w:bookmarkStart w:id="65" w:name="_Toc497727788"/>
            <w:r>
              <w:rPr>
                <w:rFonts w:hint="eastAsia" w:ascii="仿宋" w:hAnsi="仿宋" w:eastAsia="仿宋" w:cs="仿宋"/>
                <w:sz w:val="24"/>
                <w:szCs w:val="24"/>
                <w:highlight w:val="none"/>
              </w:rPr>
              <w:t>合同金额</w:t>
            </w:r>
            <w:bookmarkEnd w:id="65"/>
          </w:p>
        </w:tc>
        <w:tc>
          <w:tcPr>
            <w:tcW w:w="1371" w:type="dxa"/>
            <w:tcBorders>
              <w:top w:val="single" w:color="auto" w:sz="4" w:space="0"/>
              <w:left w:val="single" w:color="auto" w:sz="4" w:space="0"/>
              <w:bottom w:val="single" w:color="auto" w:sz="6" w:space="0"/>
              <w:right w:val="single" w:color="auto" w:sz="4" w:space="0"/>
            </w:tcBorders>
            <w:noWrap w:val="0"/>
            <w:vAlign w:val="center"/>
          </w:tcPr>
          <w:p w14:paraId="5DBD404A">
            <w:pPr>
              <w:jc w:val="center"/>
              <w:rPr>
                <w:rFonts w:ascii="仿宋" w:hAnsi="仿宋" w:eastAsia="仿宋" w:cs="仿宋"/>
                <w:sz w:val="24"/>
                <w:szCs w:val="24"/>
                <w:highlight w:val="none"/>
              </w:rPr>
            </w:pPr>
            <w:bookmarkStart w:id="66" w:name="_Toc497727790"/>
            <w:r>
              <w:rPr>
                <w:rFonts w:hint="eastAsia" w:ascii="仿宋" w:hAnsi="仿宋" w:eastAsia="仿宋" w:cs="仿宋"/>
                <w:sz w:val="24"/>
                <w:szCs w:val="24"/>
                <w:highlight w:val="none"/>
              </w:rPr>
              <w:t>备注</w:t>
            </w:r>
            <w:bookmarkEnd w:id="66"/>
          </w:p>
        </w:tc>
      </w:tr>
      <w:tr w14:paraId="2B9B1DC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80" w:type="dxa"/>
            <w:tcBorders>
              <w:top w:val="single" w:color="auto" w:sz="6" w:space="0"/>
              <w:left w:val="single" w:color="auto" w:sz="4" w:space="0"/>
              <w:bottom w:val="single" w:color="auto" w:sz="6" w:space="0"/>
              <w:right w:val="single" w:color="auto" w:sz="6" w:space="0"/>
            </w:tcBorders>
            <w:noWrap w:val="0"/>
            <w:vAlign w:val="center"/>
          </w:tcPr>
          <w:p w14:paraId="64E0B8AC">
            <w:pPr>
              <w:rPr>
                <w:rFonts w:ascii="仿宋" w:hAnsi="仿宋" w:eastAsia="仿宋" w:cs="仿宋"/>
                <w:sz w:val="24"/>
                <w:szCs w:val="24"/>
                <w:highlight w:val="none"/>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14:paraId="73C29120">
            <w:pPr>
              <w:rPr>
                <w:rFonts w:ascii="仿宋" w:hAnsi="仿宋" w:eastAsia="仿宋" w:cs="仿宋"/>
                <w:sz w:val="24"/>
                <w:szCs w:val="24"/>
                <w:highlight w:val="none"/>
              </w:rPr>
            </w:pPr>
          </w:p>
        </w:tc>
        <w:tc>
          <w:tcPr>
            <w:tcW w:w="1567" w:type="dxa"/>
            <w:tcBorders>
              <w:top w:val="single" w:color="auto" w:sz="6" w:space="0"/>
              <w:left w:val="single" w:color="auto" w:sz="6" w:space="0"/>
              <w:bottom w:val="single" w:color="auto" w:sz="6" w:space="0"/>
              <w:right w:val="single" w:color="auto" w:sz="6" w:space="0"/>
            </w:tcBorders>
            <w:noWrap w:val="0"/>
            <w:vAlign w:val="center"/>
          </w:tcPr>
          <w:p w14:paraId="277A59FD">
            <w:pPr>
              <w:rPr>
                <w:rFonts w:ascii="仿宋" w:hAnsi="仿宋" w:eastAsia="仿宋" w:cs="仿宋"/>
                <w:sz w:val="24"/>
                <w:szCs w:val="24"/>
                <w:highlight w:val="none"/>
              </w:rPr>
            </w:pPr>
          </w:p>
        </w:tc>
        <w:tc>
          <w:tcPr>
            <w:tcW w:w="1629" w:type="dxa"/>
            <w:tcBorders>
              <w:top w:val="single" w:color="auto" w:sz="6" w:space="0"/>
              <w:left w:val="single" w:color="auto" w:sz="6" w:space="0"/>
              <w:bottom w:val="single" w:color="auto" w:sz="6" w:space="0"/>
              <w:right w:val="single" w:color="auto" w:sz="6" w:space="0"/>
            </w:tcBorders>
            <w:noWrap w:val="0"/>
            <w:vAlign w:val="center"/>
          </w:tcPr>
          <w:p w14:paraId="77FD31FC">
            <w:pPr>
              <w:rPr>
                <w:rFonts w:ascii="仿宋" w:hAnsi="仿宋" w:eastAsia="仿宋" w:cs="仿宋"/>
                <w:sz w:val="24"/>
                <w:szCs w:val="24"/>
                <w:highlight w:val="none"/>
              </w:rPr>
            </w:pPr>
          </w:p>
        </w:tc>
        <w:tc>
          <w:tcPr>
            <w:tcW w:w="1307" w:type="dxa"/>
            <w:tcBorders>
              <w:top w:val="single" w:color="auto" w:sz="6" w:space="0"/>
              <w:left w:val="single" w:color="auto" w:sz="6" w:space="0"/>
              <w:bottom w:val="single" w:color="auto" w:sz="6" w:space="0"/>
              <w:right w:val="single" w:color="auto" w:sz="6" w:space="0"/>
            </w:tcBorders>
            <w:noWrap w:val="0"/>
            <w:vAlign w:val="center"/>
          </w:tcPr>
          <w:p w14:paraId="42801B33">
            <w:pPr>
              <w:rPr>
                <w:rFonts w:ascii="仿宋" w:hAnsi="仿宋" w:eastAsia="仿宋" w:cs="仿宋"/>
                <w:sz w:val="24"/>
                <w:szCs w:val="24"/>
                <w:highlight w:val="none"/>
              </w:rPr>
            </w:pPr>
          </w:p>
        </w:tc>
        <w:tc>
          <w:tcPr>
            <w:tcW w:w="1371" w:type="dxa"/>
            <w:tcBorders>
              <w:top w:val="single" w:color="auto" w:sz="6" w:space="0"/>
              <w:left w:val="single" w:color="auto" w:sz="4" w:space="0"/>
              <w:bottom w:val="single" w:color="auto" w:sz="6" w:space="0"/>
              <w:right w:val="single" w:color="auto" w:sz="4" w:space="0"/>
            </w:tcBorders>
            <w:noWrap w:val="0"/>
            <w:vAlign w:val="center"/>
          </w:tcPr>
          <w:p w14:paraId="4EF713C8">
            <w:pPr>
              <w:rPr>
                <w:rFonts w:ascii="仿宋" w:hAnsi="仿宋" w:eastAsia="仿宋" w:cs="仿宋"/>
                <w:sz w:val="24"/>
                <w:szCs w:val="24"/>
                <w:highlight w:val="none"/>
              </w:rPr>
            </w:pPr>
          </w:p>
        </w:tc>
      </w:tr>
      <w:tr w14:paraId="600E33A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80" w:type="dxa"/>
            <w:tcBorders>
              <w:top w:val="single" w:color="auto" w:sz="6" w:space="0"/>
              <w:left w:val="single" w:color="auto" w:sz="4" w:space="0"/>
              <w:bottom w:val="single" w:color="auto" w:sz="6" w:space="0"/>
              <w:right w:val="single" w:color="auto" w:sz="6" w:space="0"/>
            </w:tcBorders>
            <w:noWrap w:val="0"/>
            <w:vAlign w:val="center"/>
          </w:tcPr>
          <w:p w14:paraId="1477EB37">
            <w:pPr>
              <w:rPr>
                <w:rFonts w:ascii="仿宋" w:hAnsi="仿宋" w:eastAsia="仿宋" w:cs="仿宋"/>
                <w:sz w:val="24"/>
                <w:szCs w:val="24"/>
                <w:highlight w:val="none"/>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14:paraId="1CDD9F7C">
            <w:pPr>
              <w:rPr>
                <w:rFonts w:ascii="仿宋" w:hAnsi="仿宋" w:eastAsia="仿宋" w:cs="仿宋"/>
                <w:sz w:val="24"/>
                <w:szCs w:val="24"/>
                <w:highlight w:val="none"/>
              </w:rPr>
            </w:pPr>
          </w:p>
        </w:tc>
        <w:tc>
          <w:tcPr>
            <w:tcW w:w="1567" w:type="dxa"/>
            <w:tcBorders>
              <w:top w:val="single" w:color="auto" w:sz="6" w:space="0"/>
              <w:left w:val="single" w:color="auto" w:sz="6" w:space="0"/>
              <w:bottom w:val="single" w:color="auto" w:sz="6" w:space="0"/>
              <w:right w:val="single" w:color="auto" w:sz="6" w:space="0"/>
            </w:tcBorders>
            <w:noWrap w:val="0"/>
            <w:vAlign w:val="center"/>
          </w:tcPr>
          <w:p w14:paraId="02D7E38A">
            <w:pPr>
              <w:rPr>
                <w:rFonts w:ascii="仿宋" w:hAnsi="仿宋" w:eastAsia="仿宋" w:cs="仿宋"/>
                <w:sz w:val="24"/>
                <w:szCs w:val="24"/>
                <w:highlight w:val="none"/>
              </w:rPr>
            </w:pPr>
          </w:p>
        </w:tc>
        <w:tc>
          <w:tcPr>
            <w:tcW w:w="1629" w:type="dxa"/>
            <w:tcBorders>
              <w:top w:val="single" w:color="auto" w:sz="6" w:space="0"/>
              <w:left w:val="single" w:color="auto" w:sz="6" w:space="0"/>
              <w:bottom w:val="single" w:color="auto" w:sz="6" w:space="0"/>
              <w:right w:val="single" w:color="auto" w:sz="6" w:space="0"/>
            </w:tcBorders>
            <w:noWrap w:val="0"/>
            <w:vAlign w:val="center"/>
          </w:tcPr>
          <w:p w14:paraId="30F77C64">
            <w:pPr>
              <w:rPr>
                <w:rFonts w:ascii="仿宋" w:hAnsi="仿宋" w:eastAsia="仿宋" w:cs="仿宋"/>
                <w:sz w:val="24"/>
                <w:szCs w:val="24"/>
                <w:highlight w:val="none"/>
              </w:rPr>
            </w:pPr>
          </w:p>
        </w:tc>
        <w:tc>
          <w:tcPr>
            <w:tcW w:w="1307" w:type="dxa"/>
            <w:tcBorders>
              <w:top w:val="single" w:color="auto" w:sz="6" w:space="0"/>
              <w:left w:val="single" w:color="auto" w:sz="6" w:space="0"/>
              <w:bottom w:val="single" w:color="auto" w:sz="6" w:space="0"/>
              <w:right w:val="single" w:color="auto" w:sz="6" w:space="0"/>
            </w:tcBorders>
            <w:noWrap w:val="0"/>
            <w:vAlign w:val="center"/>
          </w:tcPr>
          <w:p w14:paraId="175B7F06">
            <w:pPr>
              <w:rPr>
                <w:rFonts w:ascii="仿宋" w:hAnsi="仿宋" w:eastAsia="仿宋" w:cs="仿宋"/>
                <w:sz w:val="24"/>
                <w:szCs w:val="24"/>
                <w:highlight w:val="none"/>
              </w:rPr>
            </w:pPr>
          </w:p>
        </w:tc>
        <w:tc>
          <w:tcPr>
            <w:tcW w:w="1371" w:type="dxa"/>
            <w:tcBorders>
              <w:top w:val="single" w:color="auto" w:sz="6" w:space="0"/>
              <w:left w:val="single" w:color="auto" w:sz="4" w:space="0"/>
              <w:bottom w:val="single" w:color="auto" w:sz="6" w:space="0"/>
              <w:right w:val="single" w:color="auto" w:sz="4" w:space="0"/>
            </w:tcBorders>
            <w:noWrap w:val="0"/>
            <w:vAlign w:val="center"/>
          </w:tcPr>
          <w:p w14:paraId="0A50FD51">
            <w:pPr>
              <w:rPr>
                <w:rFonts w:ascii="仿宋" w:hAnsi="仿宋" w:eastAsia="仿宋" w:cs="仿宋"/>
                <w:sz w:val="24"/>
                <w:szCs w:val="24"/>
                <w:highlight w:val="none"/>
              </w:rPr>
            </w:pPr>
          </w:p>
        </w:tc>
      </w:tr>
      <w:tr w14:paraId="058069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80" w:type="dxa"/>
            <w:tcBorders>
              <w:top w:val="single" w:color="auto" w:sz="6" w:space="0"/>
              <w:left w:val="single" w:color="auto" w:sz="4" w:space="0"/>
              <w:bottom w:val="single" w:color="auto" w:sz="6" w:space="0"/>
              <w:right w:val="single" w:color="auto" w:sz="6" w:space="0"/>
            </w:tcBorders>
            <w:noWrap w:val="0"/>
            <w:vAlign w:val="center"/>
          </w:tcPr>
          <w:p w14:paraId="28C6255F">
            <w:pPr>
              <w:rPr>
                <w:rFonts w:ascii="仿宋" w:hAnsi="仿宋" w:eastAsia="仿宋" w:cs="仿宋"/>
                <w:sz w:val="24"/>
                <w:szCs w:val="24"/>
                <w:highlight w:val="none"/>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14:paraId="7AAE3DA0">
            <w:pPr>
              <w:rPr>
                <w:rFonts w:ascii="仿宋" w:hAnsi="仿宋" w:eastAsia="仿宋" w:cs="仿宋"/>
                <w:sz w:val="24"/>
                <w:szCs w:val="24"/>
                <w:highlight w:val="none"/>
              </w:rPr>
            </w:pPr>
          </w:p>
        </w:tc>
        <w:tc>
          <w:tcPr>
            <w:tcW w:w="1567" w:type="dxa"/>
            <w:tcBorders>
              <w:top w:val="single" w:color="auto" w:sz="6" w:space="0"/>
              <w:left w:val="single" w:color="auto" w:sz="6" w:space="0"/>
              <w:bottom w:val="single" w:color="auto" w:sz="6" w:space="0"/>
              <w:right w:val="single" w:color="auto" w:sz="6" w:space="0"/>
            </w:tcBorders>
            <w:noWrap w:val="0"/>
            <w:vAlign w:val="center"/>
          </w:tcPr>
          <w:p w14:paraId="2FE67506">
            <w:pPr>
              <w:rPr>
                <w:rFonts w:ascii="仿宋" w:hAnsi="仿宋" w:eastAsia="仿宋" w:cs="仿宋"/>
                <w:sz w:val="24"/>
                <w:szCs w:val="24"/>
                <w:highlight w:val="none"/>
              </w:rPr>
            </w:pPr>
          </w:p>
        </w:tc>
        <w:tc>
          <w:tcPr>
            <w:tcW w:w="1629" w:type="dxa"/>
            <w:tcBorders>
              <w:top w:val="single" w:color="auto" w:sz="6" w:space="0"/>
              <w:left w:val="single" w:color="auto" w:sz="6" w:space="0"/>
              <w:bottom w:val="single" w:color="auto" w:sz="6" w:space="0"/>
              <w:right w:val="single" w:color="auto" w:sz="6" w:space="0"/>
            </w:tcBorders>
            <w:noWrap w:val="0"/>
            <w:vAlign w:val="center"/>
          </w:tcPr>
          <w:p w14:paraId="6F18415B">
            <w:pPr>
              <w:rPr>
                <w:rFonts w:ascii="仿宋" w:hAnsi="仿宋" w:eastAsia="仿宋" w:cs="仿宋"/>
                <w:sz w:val="24"/>
                <w:szCs w:val="24"/>
                <w:highlight w:val="none"/>
              </w:rPr>
            </w:pPr>
          </w:p>
        </w:tc>
        <w:tc>
          <w:tcPr>
            <w:tcW w:w="1307" w:type="dxa"/>
            <w:tcBorders>
              <w:top w:val="single" w:color="auto" w:sz="6" w:space="0"/>
              <w:left w:val="single" w:color="auto" w:sz="6" w:space="0"/>
              <w:bottom w:val="single" w:color="auto" w:sz="6" w:space="0"/>
              <w:right w:val="single" w:color="auto" w:sz="6" w:space="0"/>
            </w:tcBorders>
            <w:noWrap w:val="0"/>
            <w:vAlign w:val="center"/>
          </w:tcPr>
          <w:p w14:paraId="54C2E132">
            <w:pPr>
              <w:rPr>
                <w:rFonts w:ascii="仿宋" w:hAnsi="仿宋" w:eastAsia="仿宋" w:cs="仿宋"/>
                <w:sz w:val="24"/>
                <w:szCs w:val="24"/>
                <w:highlight w:val="none"/>
              </w:rPr>
            </w:pPr>
          </w:p>
        </w:tc>
        <w:tc>
          <w:tcPr>
            <w:tcW w:w="1371" w:type="dxa"/>
            <w:tcBorders>
              <w:top w:val="single" w:color="auto" w:sz="6" w:space="0"/>
              <w:left w:val="single" w:color="auto" w:sz="4" w:space="0"/>
              <w:bottom w:val="single" w:color="auto" w:sz="6" w:space="0"/>
              <w:right w:val="single" w:color="auto" w:sz="4" w:space="0"/>
            </w:tcBorders>
            <w:noWrap w:val="0"/>
            <w:vAlign w:val="center"/>
          </w:tcPr>
          <w:p w14:paraId="37348841">
            <w:pPr>
              <w:rPr>
                <w:rFonts w:ascii="仿宋" w:hAnsi="仿宋" w:eastAsia="仿宋" w:cs="仿宋"/>
                <w:sz w:val="24"/>
                <w:szCs w:val="24"/>
                <w:highlight w:val="none"/>
              </w:rPr>
            </w:pPr>
          </w:p>
        </w:tc>
      </w:tr>
      <w:tr w14:paraId="4AD5BD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80" w:type="dxa"/>
            <w:tcBorders>
              <w:top w:val="single" w:color="auto" w:sz="6" w:space="0"/>
              <w:left w:val="single" w:color="auto" w:sz="4" w:space="0"/>
              <w:bottom w:val="single" w:color="auto" w:sz="6" w:space="0"/>
              <w:right w:val="single" w:color="auto" w:sz="6" w:space="0"/>
            </w:tcBorders>
            <w:noWrap w:val="0"/>
            <w:vAlign w:val="center"/>
          </w:tcPr>
          <w:p w14:paraId="5CBC1B33">
            <w:pPr>
              <w:rPr>
                <w:rFonts w:ascii="仿宋" w:hAnsi="仿宋" w:eastAsia="仿宋" w:cs="仿宋"/>
                <w:sz w:val="24"/>
                <w:szCs w:val="24"/>
                <w:highlight w:val="none"/>
              </w:rPr>
            </w:pPr>
          </w:p>
        </w:tc>
        <w:tc>
          <w:tcPr>
            <w:tcW w:w="1440" w:type="dxa"/>
            <w:tcBorders>
              <w:top w:val="single" w:color="auto" w:sz="6" w:space="0"/>
              <w:left w:val="single" w:color="auto" w:sz="6" w:space="0"/>
              <w:bottom w:val="single" w:color="auto" w:sz="6" w:space="0"/>
              <w:right w:val="single" w:color="auto" w:sz="4" w:space="0"/>
            </w:tcBorders>
            <w:noWrap w:val="0"/>
            <w:vAlign w:val="center"/>
          </w:tcPr>
          <w:p w14:paraId="5141DA5E">
            <w:pPr>
              <w:rPr>
                <w:rFonts w:ascii="仿宋" w:hAnsi="仿宋" w:eastAsia="仿宋" w:cs="仿宋"/>
                <w:sz w:val="24"/>
                <w:szCs w:val="24"/>
                <w:highlight w:val="none"/>
              </w:rPr>
            </w:pPr>
          </w:p>
        </w:tc>
        <w:tc>
          <w:tcPr>
            <w:tcW w:w="1567" w:type="dxa"/>
            <w:tcBorders>
              <w:top w:val="single" w:color="auto" w:sz="6" w:space="0"/>
              <w:left w:val="single" w:color="auto" w:sz="4" w:space="0"/>
              <w:bottom w:val="single" w:color="auto" w:sz="6" w:space="0"/>
              <w:right w:val="single" w:color="auto" w:sz="6" w:space="0"/>
            </w:tcBorders>
            <w:noWrap w:val="0"/>
            <w:vAlign w:val="center"/>
          </w:tcPr>
          <w:p w14:paraId="5B53EBB5">
            <w:pPr>
              <w:rPr>
                <w:rFonts w:ascii="仿宋" w:hAnsi="仿宋" w:eastAsia="仿宋" w:cs="仿宋"/>
                <w:sz w:val="24"/>
                <w:szCs w:val="24"/>
                <w:highlight w:val="none"/>
              </w:rPr>
            </w:pPr>
          </w:p>
        </w:tc>
        <w:tc>
          <w:tcPr>
            <w:tcW w:w="1629" w:type="dxa"/>
            <w:tcBorders>
              <w:top w:val="single" w:color="auto" w:sz="6" w:space="0"/>
              <w:left w:val="single" w:color="auto" w:sz="6" w:space="0"/>
              <w:bottom w:val="single" w:color="auto" w:sz="6" w:space="0"/>
              <w:right w:val="single" w:color="auto" w:sz="6" w:space="0"/>
            </w:tcBorders>
            <w:noWrap w:val="0"/>
            <w:vAlign w:val="center"/>
          </w:tcPr>
          <w:p w14:paraId="1215D82B">
            <w:pPr>
              <w:rPr>
                <w:rFonts w:ascii="仿宋" w:hAnsi="仿宋" w:eastAsia="仿宋" w:cs="仿宋"/>
                <w:sz w:val="24"/>
                <w:szCs w:val="24"/>
                <w:highlight w:val="none"/>
              </w:rPr>
            </w:pPr>
          </w:p>
        </w:tc>
        <w:tc>
          <w:tcPr>
            <w:tcW w:w="1307" w:type="dxa"/>
            <w:tcBorders>
              <w:top w:val="single" w:color="auto" w:sz="6" w:space="0"/>
              <w:left w:val="single" w:color="auto" w:sz="6" w:space="0"/>
              <w:bottom w:val="single" w:color="auto" w:sz="6" w:space="0"/>
              <w:right w:val="single" w:color="auto" w:sz="6" w:space="0"/>
            </w:tcBorders>
            <w:noWrap w:val="0"/>
            <w:vAlign w:val="center"/>
          </w:tcPr>
          <w:p w14:paraId="31EE2E7B">
            <w:pPr>
              <w:rPr>
                <w:rFonts w:ascii="仿宋" w:hAnsi="仿宋" w:eastAsia="仿宋" w:cs="仿宋"/>
                <w:sz w:val="24"/>
                <w:szCs w:val="24"/>
                <w:highlight w:val="none"/>
              </w:rPr>
            </w:pPr>
          </w:p>
        </w:tc>
        <w:tc>
          <w:tcPr>
            <w:tcW w:w="1371" w:type="dxa"/>
            <w:tcBorders>
              <w:top w:val="single" w:color="auto" w:sz="6" w:space="0"/>
              <w:left w:val="single" w:color="auto" w:sz="4" w:space="0"/>
              <w:bottom w:val="single" w:color="auto" w:sz="6" w:space="0"/>
              <w:right w:val="single" w:color="auto" w:sz="4" w:space="0"/>
            </w:tcBorders>
            <w:noWrap w:val="0"/>
            <w:vAlign w:val="center"/>
          </w:tcPr>
          <w:p w14:paraId="5E054893">
            <w:pPr>
              <w:rPr>
                <w:rFonts w:ascii="仿宋" w:hAnsi="仿宋" w:eastAsia="仿宋" w:cs="仿宋"/>
                <w:sz w:val="24"/>
                <w:szCs w:val="24"/>
                <w:highlight w:val="none"/>
              </w:rPr>
            </w:pPr>
          </w:p>
        </w:tc>
      </w:tr>
      <w:tr w14:paraId="57DA7A6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80" w:type="dxa"/>
            <w:tcBorders>
              <w:top w:val="single" w:color="auto" w:sz="6" w:space="0"/>
              <w:left w:val="single" w:color="auto" w:sz="4" w:space="0"/>
              <w:bottom w:val="single" w:color="auto" w:sz="6" w:space="0"/>
              <w:right w:val="single" w:color="auto" w:sz="4" w:space="0"/>
            </w:tcBorders>
            <w:noWrap w:val="0"/>
            <w:vAlign w:val="center"/>
          </w:tcPr>
          <w:p w14:paraId="5A00FA24">
            <w:pPr>
              <w:rPr>
                <w:rFonts w:ascii="仿宋" w:hAnsi="仿宋" w:eastAsia="仿宋" w:cs="仿宋"/>
                <w:sz w:val="24"/>
                <w:szCs w:val="24"/>
                <w:highlight w:val="none"/>
              </w:rPr>
            </w:pPr>
          </w:p>
        </w:tc>
        <w:tc>
          <w:tcPr>
            <w:tcW w:w="1440" w:type="dxa"/>
            <w:tcBorders>
              <w:top w:val="single" w:color="auto" w:sz="6" w:space="0"/>
              <w:left w:val="single" w:color="auto" w:sz="4" w:space="0"/>
              <w:bottom w:val="single" w:color="auto" w:sz="6" w:space="0"/>
              <w:right w:val="single" w:color="auto" w:sz="4" w:space="0"/>
            </w:tcBorders>
            <w:noWrap w:val="0"/>
            <w:vAlign w:val="center"/>
          </w:tcPr>
          <w:p w14:paraId="68D4D7DB">
            <w:pPr>
              <w:rPr>
                <w:rFonts w:ascii="仿宋" w:hAnsi="仿宋" w:eastAsia="仿宋" w:cs="仿宋"/>
                <w:sz w:val="24"/>
                <w:szCs w:val="24"/>
                <w:highlight w:val="none"/>
              </w:rPr>
            </w:pPr>
          </w:p>
        </w:tc>
        <w:tc>
          <w:tcPr>
            <w:tcW w:w="1567" w:type="dxa"/>
            <w:tcBorders>
              <w:top w:val="single" w:color="auto" w:sz="6" w:space="0"/>
              <w:left w:val="single" w:color="auto" w:sz="4" w:space="0"/>
              <w:bottom w:val="single" w:color="auto" w:sz="6" w:space="0"/>
              <w:right w:val="single" w:color="auto" w:sz="4" w:space="0"/>
            </w:tcBorders>
            <w:noWrap w:val="0"/>
            <w:vAlign w:val="center"/>
          </w:tcPr>
          <w:p w14:paraId="14D5BC85">
            <w:pPr>
              <w:rPr>
                <w:rFonts w:ascii="仿宋" w:hAnsi="仿宋" w:eastAsia="仿宋" w:cs="仿宋"/>
                <w:sz w:val="24"/>
                <w:szCs w:val="24"/>
                <w:highlight w:val="none"/>
              </w:rPr>
            </w:pPr>
          </w:p>
        </w:tc>
        <w:tc>
          <w:tcPr>
            <w:tcW w:w="1629" w:type="dxa"/>
            <w:tcBorders>
              <w:top w:val="single" w:color="auto" w:sz="6" w:space="0"/>
              <w:left w:val="single" w:color="auto" w:sz="4" w:space="0"/>
              <w:bottom w:val="single" w:color="auto" w:sz="6" w:space="0"/>
              <w:right w:val="single" w:color="auto" w:sz="4" w:space="0"/>
            </w:tcBorders>
            <w:noWrap w:val="0"/>
            <w:vAlign w:val="center"/>
          </w:tcPr>
          <w:p w14:paraId="43E606E1">
            <w:pPr>
              <w:rPr>
                <w:rFonts w:ascii="仿宋" w:hAnsi="仿宋" w:eastAsia="仿宋" w:cs="仿宋"/>
                <w:sz w:val="24"/>
                <w:szCs w:val="24"/>
                <w:highlight w:val="none"/>
              </w:rPr>
            </w:pPr>
          </w:p>
        </w:tc>
        <w:tc>
          <w:tcPr>
            <w:tcW w:w="1307" w:type="dxa"/>
            <w:tcBorders>
              <w:top w:val="single" w:color="auto" w:sz="6" w:space="0"/>
              <w:left w:val="single" w:color="auto" w:sz="4" w:space="0"/>
              <w:bottom w:val="single" w:color="auto" w:sz="6" w:space="0"/>
              <w:right w:val="single" w:color="auto" w:sz="4" w:space="0"/>
            </w:tcBorders>
            <w:noWrap w:val="0"/>
            <w:vAlign w:val="center"/>
          </w:tcPr>
          <w:p w14:paraId="043E0011">
            <w:pPr>
              <w:rPr>
                <w:rFonts w:ascii="仿宋" w:hAnsi="仿宋" w:eastAsia="仿宋" w:cs="仿宋"/>
                <w:sz w:val="24"/>
                <w:szCs w:val="24"/>
                <w:highlight w:val="none"/>
              </w:rPr>
            </w:pPr>
          </w:p>
        </w:tc>
        <w:tc>
          <w:tcPr>
            <w:tcW w:w="1371" w:type="dxa"/>
            <w:tcBorders>
              <w:top w:val="single" w:color="auto" w:sz="6" w:space="0"/>
              <w:left w:val="single" w:color="auto" w:sz="4" w:space="0"/>
              <w:bottom w:val="single" w:color="auto" w:sz="6" w:space="0"/>
              <w:right w:val="single" w:color="auto" w:sz="4" w:space="0"/>
            </w:tcBorders>
            <w:noWrap w:val="0"/>
            <w:vAlign w:val="center"/>
          </w:tcPr>
          <w:p w14:paraId="004A57E6">
            <w:pPr>
              <w:rPr>
                <w:rFonts w:ascii="仿宋" w:hAnsi="仿宋" w:eastAsia="仿宋" w:cs="仿宋"/>
                <w:sz w:val="24"/>
                <w:szCs w:val="24"/>
                <w:highlight w:val="none"/>
              </w:rPr>
            </w:pPr>
          </w:p>
        </w:tc>
      </w:tr>
      <w:tr w14:paraId="6E0427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80" w:type="dxa"/>
            <w:tcBorders>
              <w:top w:val="single" w:color="auto" w:sz="6" w:space="0"/>
              <w:left w:val="single" w:color="auto" w:sz="4" w:space="0"/>
              <w:bottom w:val="single" w:color="auto" w:sz="6" w:space="0"/>
              <w:right w:val="single" w:color="auto" w:sz="6" w:space="0"/>
            </w:tcBorders>
            <w:noWrap w:val="0"/>
            <w:vAlign w:val="center"/>
          </w:tcPr>
          <w:p w14:paraId="11A47EE7">
            <w:pPr>
              <w:rPr>
                <w:rFonts w:ascii="仿宋" w:hAnsi="仿宋" w:eastAsia="仿宋" w:cs="仿宋"/>
                <w:sz w:val="24"/>
                <w:szCs w:val="24"/>
                <w:highlight w:val="none"/>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14:paraId="724B7B1A">
            <w:pPr>
              <w:rPr>
                <w:rFonts w:ascii="仿宋" w:hAnsi="仿宋" w:eastAsia="仿宋" w:cs="仿宋"/>
                <w:sz w:val="24"/>
                <w:szCs w:val="24"/>
                <w:highlight w:val="none"/>
              </w:rPr>
            </w:pPr>
          </w:p>
        </w:tc>
        <w:tc>
          <w:tcPr>
            <w:tcW w:w="1567" w:type="dxa"/>
            <w:tcBorders>
              <w:top w:val="single" w:color="auto" w:sz="6" w:space="0"/>
              <w:left w:val="single" w:color="auto" w:sz="6" w:space="0"/>
              <w:bottom w:val="single" w:color="auto" w:sz="6" w:space="0"/>
              <w:right w:val="single" w:color="auto" w:sz="6" w:space="0"/>
            </w:tcBorders>
            <w:noWrap w:val="0"/>
            <w:vAlign w:val="center"/>
          </w:tcPr>
          <w:p w14:paraId="241CE877">
            <w:pPr>
              <w:rPr>
                <w:rFonts w:ascii="仿宋" w:hAnsi="仿宋" w:eastAsia="仿宋" w:cs="仿宋"/>
                <w:sz w:val="24"/>
                <w:szCs w:val="24"/>
                <w:highlight w:val="none"/>
              </w:rPr>
            </w:pPr>
          </w:p>
        </w:tc>
        <w:tc>
          <w:tcPr>
            <w:tcW w:w="1629" w:type="dxa"/>
            <w:tcBorders>
              <w:top w:val="single" w:color="auto" w:sz="6" w:space="0"/>
              <w:left w:val="single" w:color="auto" w:sz="6" w:space="0"/>
              <w:bottom w:val="single" w:color="auto" w:sz="6" w:space="0"/>
              <w:right w:val="single" w:color="auto" w:sz="6" w:space="0"/>
            </w:tcBorders>
            <w:noWrap w:val="0"/>
            <w:vAlign w:val="center"/>
          </w:tcPr>
          <w:p w14:paraId="1970FE12">
            <w:pPr>
              <w:rPr>
                <w:rFonts w:ascii="仿宋" w:hAnsi="仿宋" w:eastAsia="仿宋" w:cs="仿宋"/>
                <w:sz w:val="24"/>
                <w:szCs w:val="24"/>
                <w:highlight w:val="none"/>
              </w:rPr>
            </w:pPr>
          </w:p>
        </w:tc>
        <w:tc>
          <w:tcPr>
            <w:tcW w:w="1307" w:type="dxa"/>
            <w:tcBorders>
              <w:top w:val="single" w:color="auto" w:sz="6" w:space="0"/>
              <w:left w:val="single" w:color="auto" w:sz="6" w:space="0"/>
              <w:bottom w:val="single" w:color="auto" w:sz="6" w:space="0"/>
              <w:right w:val="single" w:color="auto" w:sz="4" w:space="0"/>
            </w:tcBorders>
            <w:noWrap w:val="0"/>
            <w:vAlign w:val="center"/>
          </w:tcPr>
          <w:p w14:paraId="7EFCC5FE">
            <w:pPr>
              <w:rPr>
                <w:rFonts w:ascii="仿宋" w:hAnsi="仿宋" w:eastAsia="仿宋" w:cs="仿宋"/>
                <w:sz w:val="24"/>
                <w:szCs w:val="24"/>
                <w:highlight w:val="none"/>
              </w:rPr>
            </w:pPr>
          </w:p>
        </w:tc>
        <w:tc>
          <w:tcPr>
            <w:tcW w:w="1371" w:type="dxa"/>
            <w:tcBorders>
              <w:top w:val="single" w:color="auto" w:sz="6" w:space="0"/>
              <w:left w:val="single" w:color="auto" w:sz="4" w:space="0"/>
              <w:bottom w:val="single" w:color="auto" w:sz="6" w:space="0"/>
              <w:right w:val="single" w:color="auto" w:sz="4" w:space="0"/>
            </w:tcBorders>
            <w:noWrap w:val="0"/>
            <w:vAlign w:val="center"/>
          </w:tcPr>
          <w:p w14:paraId="7F3C4DE0">
            <w:pPr>
              <w:rPr>
                <w:rFonts w:ascii="仿宋" w:hAnsi="仿宋" w:eastAsia="仿宋" w:cs="仿宋"/>
                <w:sz w:val="24"/>
                <w:szCs w:val="24"/>
                <w:highlight w:val="none"/>
              </w:rPr>
            </w:pPr>
          </w:p>
        </w:tc>
      </w:tr>
      <w:tr w14:paraId="52240F0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80" w:type="dxa"/>
            <w:tcBorders>
              <w:top w:val="single" w:color="auto" w:sz="6" w:space="0"/>
              <w:left w:val="single" w:color="auto" w:sz="4" w:space="0"/>
              <w:bottom w:val="single" w:color="auto" w:sz="6" w:space="0"/>
              <w:right w:val="single" w:color="auto" w:sz="6" w:space="0"/>
            </w:tcBorders>
            <w:noWrap w:val="0"/>
            <w:vAlign w:val="center"/>
          </w:tcPr>
          <w:p w14:paraId="2B21D22F">
            <w:pPr>
              <w:rPr>
                <w:rFonts w:ascii="仿宋" w:hAnsi="仿宋" w:eastAsia="仿宋" w:cs="仿宋"/>
                <w:sz w:val="24"/>
                <w:szCs w:val="24"/>
                <w:highlight w:val="none"/>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14:paraId="00333F85">
            <w:pPr>
              <w:rPr>
                <w:rFonts w:ascii="仿宋" w:hAnsi="仿宋" w:eastAsia="仿宋" w:cs="仿宋"/>
                <w:sz w:val="24"/>
                <w:szCs w:val="24"/>
                <w:highlight w:val="none"/>
              </w:rPr>
            </w:pPr>
          </w:p>
        </w:tc>
        <w:tc>
          <w:tcPr>
            <w:tcW w:w="1567" w:type="dxa"/>
            <w:tcBorders>
              <w:top w:val="single" w:color="auto" w:sz="6" w:space="0"/>
              <w:left w:val="single" w:color="auto" w:sz="6" w:space="0"/>
              <w:bottom w:val="single" w:color="auto" w:sz="6" w:space="0"/>
              <w:right w:val="single" w:color="auto" w:sz="6" w:space="0"/>
            </w:tcBorders>
            <w:noWrap w:val="0"/>
            <w:vAlign w:val="center"/>
          </w:tcPr>
          <w:p w14:paraId="7FD1ACD2">
            <w:pPr>
              <w:rPr>
                <w:rFonts w:ascii="仿宋" w:hAnsi="仿宋" w:eastAsia="仿宋" w:cs="仿宋"/>
                <w:sz w:val="24"/>
                <w:szCs w:val="24"/>
                <w:highlight w:val="none"/>
              </w:rPr>
            </w:pPr>
          </w:p>
        </w:tc>
        <w:tc>
          <w:tcPr>
            <w:tcW w:w="1629" w:type="dxa"/>
            <w:tcBorders>
              <w:top w:val="single" w:color="auto" w:sz="6" w:space="0"/>
              <w:left w:val="single" w:color="auto" w:sz="6" w:space="0"/>
              <w:bottom w:val="single" w:color="auto" w:sz="6" w:space="0"/>
              <w:right w:val="single" w:color="auto" w:sz="6" w:space="0"/>
            </w:tcBorders>
            <w:noWrap w:val="0"/>
            <w:vAlign w:val="center"/>
          </w:tcPr>
          <w:p w14:paraId="030DFD06">
            <w:pPr>
              <w:rPr>
                <w:rFonts w:ascii="仿宋" w:hAnsi="仿宋" w:eastAsia="仿宋" w:cs="仿宋"/>
                <w:sz w:val="24"/>
                <w:szCs w:val="24"/>
                <w:highlight w:val="none"/>
              </w:rPr>
            </w:pPr>
          </w:p>
        </w:tc>
        <w:tc>
          <w:tcPr>
            <w:tcW w:w="1307" w:type="dxa"/>
            <w:tcBorders>
              <w:top w:val="single" w:color="auto" w:sz="6" w:space="0"/>
              <w:left w:val="single" w:color="auto" w:sz="6" w:space="0"/>
              <w:bottom w:val="single" w:color="auto" w:sz="6" w:space="0"/>
              <w:right w:val="single" w:color="auto" w:sz="4" w:space="0"/>
            </w:tcBorders>
            <w:noWrap w:val="0"/>
            <w:vAlign w:val="center"/>
          </w:tcPr>
          <w:p w14:paraId="1BA1B27F">
            <w:pPr>
              <w:rPr>
                <w:rFonts w:ascii="仿宋" w:hAnsi="仿宋" w:eastAsia="仿宋" w:cs="仿宋"/>
                <w:sz w:val="24"/>
                <w:szCs w:val="24"/>
                <w:highlight w:val="none"/>
              </w:rPr>
            </w:pPr>
          </w:p>
        </w:tc>
        <w:tc>
          <w:tcPr>
            <w:tcW w:w="1371" w:type="dxa"/>
            <w:tcBorders>
              <w:top w:val="single" w:color="auto" w:sz="6" w:space="0"/>
              <w:left w:val="single" w:color="auto" w:sz="4" w:space="0"/>
              <w:bottom w:val="single" w:color="auto" w:sz="6" w:space="0"/>
              <w:right w:val="single" w:color="auto" w:sz="4" w:space="0"/>
            </w:tcBorders>
            <w:noWrap w:val="0"/>
            <w:vAlign w:val="center"/>
          </w:tcPr>
          <w:p w14:paraId="44DC3414">
            <w:pPr>
              <w:rPr>
                <w:rFonts w:ascii="仿宋" w:hAnsi="仿宋" w:eastAsia="仿宋" w:cs="仿宋"/>
                <w:sz w:val="24"/>
                <w:szCs w:val="24"/>
                <w:highlight w:val="none"/>
              </w:rPr>
            </w:pPr>
          </w:p>
        </w:tc>
      </w:tr>
      <w:tr w14:paraId="5D9772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80" w:type="dxa"/>
            <w:tcBorders>
              <w:top w:val="single" w:color="auto" w:sz="6" w:space="0"/>
              <w:left w:val="single" w:color="auto" w:sz="4" w:space="0"/>
              <w:bottom w:val="single" w:color="auto" w:sz="6" w:space="0"/>
              <w:right w:val="single" w:color="auto" w:sz="6" w:space="0"/>
            </w:tcBorders>
            <w:noWrap w:val="0"/>
            <w:vAlign w:val="center"/>
          </w:tcPr>
          <w:p w14:paraId="7B9ADA55">
            <w:pPr>
              <w:rPr>
                <w:rFonts w:ascii="仿宋" w:hAnsi="仿宋" w:eastAsia="仿宋" w:cs="仿宋"/>
                <w:sz w:val="24"/>
                <w:szCs w:val="24"/>
                <w:highlight w:val="none"/>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14:paraId="13D1A7D3">
            <w:pPr>
              <w:rPr>
                <w:rFonts w:ascii="仿宋" w:hAnsi="仿宋" w:eastAsia="仿宋" w:cs="仿宋"/>
                <w:sz w:val="24"/>
                <w:szCs w:val="24"/>
                <w:highlight w:val="none"/>
              </w:rPr>
            </w:pPr>
          </w:p>
        </w:tc>
        <w:tc>
          <w:tcPr>
            <w:tcW w:w="1567" w:type="dxa"/>
            <w:tcBorders>
              <w:top w:val="single" w:color="auto" w:sz="6" w:space="0"/>
              <w:left w:val="single" w:color="auto" w:sz="6" w:space="0"/>
              <w:bottom w:val="single" w:color="auto" w:sz="6" w:space="0"/>
              <w:right w:val="single" w:color="auto" w:sz="6" w:space="0"/>
            </w:tcBorders>
            <w:noWrap w:val="0"/>
            <w:vAlign w:val="center"/>
          </w:tcPr>
          <w:p w14:paraId="05846F88">
            <w:pPr>
              <w:rPr>
                <w:rFonts w:ascii="仿宋" w:hAnsi="仿宋" w:eastAsia="仿宋" w:cs="仿宋"/>
                <w:sz w:val="24"/>
                <w:szCs w:val="24"/>
                <w:highlight w:val="none"/>
              </w:rPr>
            </w:pPr>
          </w:p>
        </w:tc>
        <w:tc>
          <w:tcPr>
            <w:tcW w:w="1629" w:type="dxa"/>
            <w:tcBorders>
              <w:top w:val="single" w:color="auto" w:sz="6" w:space="0"/>
              <w:left w:val="single" w:color="auto" w:sz="6" w:space="0"/>
              <w:bottom w:val="single" w:color="auto" w:sz="6" w:space="0"/>
              <w:right w:val="single" w:color="auto" w:sz="6" w:space="0"/>
            </w:tcBorders>
            <w:noWrap w:val="0"/>
            <w:vAlign w:val="center"/>
          </w:tcPr>
          <w:p w14:paraId="63D1F2ED">
            <w:pPr>
              <w:rPr>
                <w:rFonts w:ascii="仿宋" w:hAnsi="仿宋" w:eastAsia="仿宋" w:cs="仿宋"/>
                <w:sz w:val="24"/>
                <w:szCs w:val="24"/>
                <w:highlight w:val="none"/>
              </w:rPr>
            </w:pPr>
          </w:p>
        </w:tc>
        <w:tc>
          <w:tcPr>
            <w:tcW w:w="1307" w:type="dxa"/>
            <w:tcBorders>
              <w:top w:val="single" w:color="auto" w:sz="6" w:space="0"/>
              <w:left w:val="single" w:color="auto" w:sz="6" w:space="0"/>
              <w:bottom w:val="single" w:color="auto" w:sz="6" w:space="0"/>
              <w:right w:val="single" w:color="auto" w:sz="4" w:space="0"/>
            </w:tcBorders>
            <w:noWrap w:val="0"/>
            <w:vAlign w:val="center"/>
          </w:tcPr>
          <w:p w14:paraId="292BA892">
            <w:pPr>
              <w:rPr>
                <w:rFonts w:ascii="仿宋" w:hAnsi="仿宋" w:eastAsia="仿宋" w:cs="仿宋"/>
                <w:sz w:val="24"/>
                <w:szCs w:val="24"/>
                <w:highlight w:val="none"/>
              </w:rPr>
            </w:pPr>
          </w:p>
        </w:tc>
        <w:tc>
          <w:tcPr>
            <w:tcW w:w="1371" w:type="dxa"/>
            <w:tcBorders>
              <w:top w:val="single" w:color="auto" w:sz="6" w:space="0"/>
              <w:left w:val="single" w:color="auto" w:sz="4" w:space="0"/>
              <w:bottom w:val="single" w:color="auto" w:sz="6" w:space="0"/>
              <w:right w:val="single" w:color="auto" w:sz="4" w:space="0"/>
            </w:tcBorders>
            <w:noWrap w:val="0"/>
            <w:vAlign w:val="center"/>
          </w:tcPr>
          <w:p w14:paraId="65DB0D9D">
            <w:pPr>
              <w:rPr>
                <w:rFonts w:ascii="仿宋" w:hAnsi="仿宋" w:eastAsia="仿宋" w:cs="仿宋"/>
                <w:sz w:val="24"/>
                <w:szCs w:val="24"/>
                <w:highlight w:val="none"/>
              </w:rPr>
            </w:pPr>
          </w:p>
        </w:tc>
      </w:tr>
      <w:tr w14:paraId="301D6D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980" w:type="dxa"/>
            <w:tcBorders>
              <w:top w:val="single" w:color="auto" w:sz="6" w:space="0"/>
              <w:left w:val="single" w:color="auto" w:sz="4" w:space="0"/>
              <w:bottom w:val="single" w:color="auto" w:sz="4" w:space="0"/>
              <w:right w:val="single" w:color="auto" w:sz="6" w:space="0"/>
            </w:tcBorders>
            <w:noWrap w:val="0"/>
            <w:vAlign w:val="center"/>
          </w:tcPr>
          <w:p w14:paraId="5DD28272">
            <w:pPr>
              <w:rPr>
                <w:rFonts w:ascii="仿宋" w:hAnsi="仿宋" w:eastAsia="仿宋" w:cs="仿宋"/>
                <w:sz w:val="24"/>
                <w:szCs w:val="24"/>
                <w:highlight w:val="none"/>
              </w:rPr>
            </w:pPr>
          </w:p>
        </w:tc>
        <w:tc>
          <w:tcPr>
            <w:tcW w:w="1440" w:type="dxa"/>
            <w:tcBorders>
              <w:top w:val="single" w:color="auto" w:sz="6" w:space="0"/>
              <w:left w:val="single" w:color="auto" w:sz="6" w:space="0"/>
              <w:bottom w:val="single" w:color="auto" w:sz="4" w:space="0"/>
              <w:right w:val="single" w:color="auto" w:sz="6" w:space="0"/>
            </w:tcBorders>
            <w:noWrap w:val="0"/>
            <w:vAlign w:val="center"/>
          </w:tcPr>
          <w:p w14:paraId="3CC703C1">
            <w:pPr>
              <w:rPr>
                <w:rFonts w:ascii="仿宋" w:hAnsi="仿宋" w:eastAsia="仿宋" w:cs="仿宋"/>
                <w:sz w:val="24"/>
                <w:szCs w:val="24"/>
                <w:highlight w:val="none"/>
              </w:rPr>
            </w:pPr>
          </w:p>
        </w:tc>
        <w:tc>
          <w:tcPr>
            <w:tcW w:w="1567" w:type="dxa"/>
            <w:tcBorders>
              <w:top w:val="single" w:color="auto" w:sz="6" w:space="0"/>
              <w:left w:val="single" w:color="auto" w:sz="6" w:space="0"/>
              <w:bottom w:val="single" w:color="auto" w:sz="4" w:space="0"/>
              <w:right w:val="single" w:color="auto" w:sz="6" w:space="0"/>
            </w:tcBorders>
            <w:noWrap w:val="0"/>
            <w:vAlign w:val="center"/>
          </w:tcPr>
          <w:p w14:paraId="207E33F2">
            <w:pPr>
              <w:rPr>
                <w:rFonts w:ascii="仿宋" w:hAnsi="仿宋" w:eastAsia="仿宋" w:cs="仿宋"/>
                <w:sz w:val="24"/>
                <w:szCs w:val="24"/>
                <w:highlight w:val="none"/>
              </w:rPr>
            </w:pPr>
          </w:p>
        </w:tc>
        <w:tc>
          <w:tcPr>
            <w:tcW w:w="1629" w:type="dxa"/>
            <w:tcBorders>
              <w:top w:val="single" w:color="auto" w:sz="6" w:space="0"/>
              <w:left w:val="single" w:color="auto" w:sz="6" w:space="0"/>
              <w:bottom w:val="single" w:color="auto" w:sz="4" w:space="0"/>
              <w:right w:val="single" w:color="auto" w:sz="6" w:space="0"/>
            </w:tcBorders>
            <w:noWrap w:val="0"/>
            <w:vAlign w:val="center"/>
          </w:tcPr>
          <w:p w14:paraId="34B26CDC">
            <w:pPr>
              <w:rPr>
                <w:rFonts w:ascii="仿宋" w:hAnsi="仿宋" w:eastAsia="仿宋" w:cs="仿宋"/>
                <w:sz w:val="24"/>
                <w:szCs w:val="24"/>
                <w:highlight w:val="none"/>
              </w:rPr>
            </w:pPr>
          </w:p>
        </w:tc>
        <w:tc>
          <w:tcPr>
            <w:tcW w:w="1307" w:type="dxa"/>
            <w:tcBorders>
              <w:top w:val="single" w:color="auto" w:sz="6" w:space="0"/>
              <w:left w:val="single" w:color="auto" w:sz="6" w:space="0"/>
              <w:bottom w:val="single" w:color="auto" w:sz="4" w:space="0"/>
              <w:right w:val="single" w:color="auto" w:sz="4" w:space="0"/>
            </w:tcBorders>
            <w:noWrap w:val="0"/>
            <w:vAlign w:val="center"/>
          </w:tcPr>
          <w:p w14:paraId="7A8DFB38">
            <w:pPr>
              <w:rPr>
                <w:rFonts w:ascii="仿宋" w:hAnsi="仿宋" w:eastAsia="仿宋" w:cs="仿宋"/>
                <w:sz w:val="24"/>
                <w:szCs w:val="24"/>
                <w:highlight w:val="none"/>
              </w:rPr>
            </w:pPr>
          </w:p>
        </w:tc>
        <w:tc>
          <w:tcPr>
            <w:tcW w:w="1371" w:type="dxa"/>
            <w:tcBorders>
              <w:top w:val="single" w:color="auto" w:sz="6" w:space="0"/>
              <w:left w:val="single" w:color="auto" w:sz="4" w:space="0"/>
              <w:bottom w:val="single" w:color="auto" w:sz="4" w:space="0"/>
              <w:right w:val="single" w:color="auto" w:sz="4" w:space="0"/>
            </w:tcBorders>
            <w:noWrap w:val="0"/>
            <w:vAlign w:val="center"/>
          </w:tcPr>
          <w:p w14:paraId="66CAA715">
            <w:pPr>
              <w:rPr>
                <w:rFonts w:ascii="仿宋" w:hAnsi="仿宋" w:eastAsia="仿宋" w:cs="仿宋"/>
                <w:sz w:val="24"/>
                <w:szCs w:val="24"/>
                <w:highlight w:val="none"/>
              </w:rPr>
            </w:pPr>
          </w:p>
        </w:tc>
      </w:tr>
      <w:tr w14:paraId="6FB872E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980" w:type="dxa"/>
            <w:tcBorders>
              <w:top w:val="single" w:color="auto" w:sz="4" w:space="0"/>
              <w:left w:val="single" w:color="auto" w:sz="4" w:space="0"/>
              <w:bottom w:val="single" w:color="auto" w:sz="4" w:space="0"/>
              <w:right w:val="single" w:color="auto" w:sz="6" w:space="0"/>
            </w:tcBorders>
            <w:noWrap w:val="0"/>
            <w:vAlign w:val="center"/>
          </w:tcPr>
          <w:p w14:paraId="3194AB64">
            <w:pPr>
              <w:rPr>
                <w:rFonts w:ascii="仿宋" w:hAnsi="仿宋" w:eastAsia="仿宋" w:cs="仿宋"/>
                <w:sz w:val="24"/>
                <w:szCs w:val="24"/>
                <w:highlight w:val="none"/>
              </w:rPr>
            </w:pPr>
          </w:p>
        </w:tc>
        <w:tc>
          <w:tcPr>
            <w:tcW w:w="1440" w:type="dxa"/>
            <w:tcBorders>
              <w:top w:val="single" w:color="auto" w:sz="4" w:space="0"/>
              <w:left w:val="single" w:color="auto" w:sz="6" w:space="0"/>
              <w:bottom w:val="single" w:color="auto" w:sz="4" w:space="0"/>
              <w:right w:val="single" w:color="auto" w:sz="6" w:space="0"/>
            </w:tcBorders>
            <w:noWrap w:val="0"/>
            <w:vAlign w:val="center"/>
          </w:tcPr>
          <w:p w14:paraId="523D1FBB">
            <w:pPr>
              <w:rPr>
                <w:rFonts w:ascii="仿宋" w:hAnsi="仿宋" w:eastAsia="仿宋" w:cs="仿宋"/>
                <w:sz w:val="24"/>
                <w:szCs w:val="24"/>
                <w:highlight w:val="none"/>
              </w:rPr>
            </w:pPr>
          </w:p>
        </w:tc>
        <w:tc>
          <w:tcPr>
            <w:tcW w:w="1567" w:type="dxa"/>
            <w:tcBorders>
              <w:top w:val="single" w:color="auto" w:sz="4" w:space="0"/>
              <w:left w:val="single" w:color="auto" w:sz="6" w:space="0"/>
              <w:bottom w:val="single" w:color="auto" w:sz="4" w:space="0"/>
              <w:right w:val="single" w:color="auto" w:sz="6" w:space="0"/>
            </w:tcBorders>
            <w:noWrap w:val="0"/>
            <w:vAlign w:val="center"/>
          </w:tcPr>
          <w:p w14:paraId="6F36885C">
            <w:pPr>
              <w:rPr>
                <w:rFonts w:ascii="仿宋" w:hAnsi="仿宋" w:eastAsia="仿宋" w:cs="仿宋"/>
                <w:sz w:val="24"/>
                <w:szCs w:val="24"/>
                <w:highlight w:val="none"/>
              </w:rPr>
            </w:pPr>
          </w:p>
        </w:tc>
        <w:tc>
          <w:tcPr>
            <w:tcW w:w="1629" w:type="dxa"/>
            <w:tcBorders>
              <w:top w:val="single" w:color="auto" w:sz="4" w:space="0"/>
              <w:left w:val="single" w:color="auto" w:sz="6" w:space="0"/>
              <w:bottom w:val="single" w:color="auto" w:sz="4" w:space="0"/>
              <w:right w:val="single" w:color="auto" w:sz="6" w:space="0"/>
            </w:tcBorders>
            <w:noWrap w:val="0"/>
            <w:vAlign w:val="center"/>
          </w:tcPr>
          <w:p w14:paraId="0BBAB1A3">
            <w:pPr>
              <w:rPr>
                <w:rFonts w:ascii="仿宋" w:hAnsi="仿宋" w:eastAsia="仿宋" w:cs="仿宋"/>
                <w:sz w:val="24"/>
                <w:szCs w:val="24"/>
                <w:highlight w:val="none"/>
              </w:rPr>
            </w:pPr>
          </w:p>
        </w:tc>
        <w:tc>
          <w:tcPr>
            <w:tcW w:w="1307" w:type="dxa"/>
            <w:tcBorders>
              <w:top w:val="single" w:color="auto" w:sz="4" w:space="0"/>
              <w:left w:val="single" w:color="auto" w:sz="6" w:space="0"/>
              <w:bottom w:val="single" w:color="auto" w:sz="4" w:space="0"/>
              <w:right w:val="single" w:color="auto" w:sz="4" w:space="0"/>
            </w:tcBorders>
            <w:noWrap w:val="0"/>
            <w:vAlign w:val="center"/>
          </w:tcPr>
          <w:p w14:paraId="6E1AA305">
            <w:pPr>
              <w:rPr>
                <w:rFonts w:ascii="仿宋" w:hAnsi="仿宋" w:eastAsia="仿宋" w:cs="仿宋"/>
                <w:sz w:val="24"/>
                <w:szCs w:val="24"/>
                <w:highlight w:val="none"/>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0425E925">
            <w:pPr>
              <w:rPr>
                <w:rFonts w:ascii="仿宋" w:hAnsi="仿宋" w:eastAsia="仿宋" w:cs="仿宋"/>
                <w:sz w:val="24"/>
                <w:szCs w:val="24"/>
                <w:highlight w:val="none"/>
              </w:rPr>
            </w:pPr>
          </w:p>
        </w:tc>
      </w:tr>
      <w:tr w14:paraId="1EAF3A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980" w:type="dxa"/>
            <w:tcBorders>
              <w:top w:val="single" w:color="auto" w:sz="4" w:space="0"/>
              <w:left w:val="single" w:color="auto" w:sz="4" w:space="0"/>
              <w:bottom w:val="single" w:color="auto" w:sz="4" w:space="0"/>
              <w:right w:val="single" w:color="auto" w:sz="6" w:space="0"/>
            </w:tcBorders>
            <w:noWrap w:val="0"/>
            <w:vAlign w:val="center"/>
          </w:tcPr>
          <w:p w14:paraId="2D2701B0">
            <w:pPr>
              <w:rPr>
                <w:rFonts w:ascii="仿宋" w:hAnsi="仿宋" w:eastAsia="仿宋" w:cs="仿宋"/>
                <w:sz w:val="24"/>
                <w:szCs w:val="24"/>
                <w:highlight w:val="none"/>
              </w:rPr>
            </w:pPr>
          </w:p>
        </w:tc>
        <w:tc>
          <w:tcPr>
            <w:tcW w:w="1440" w:type="dxa"/>
            <w:tcBorders>
              <w:top w:val="single" w:color="auto" w:sz="4" w:space="0"/>
              <w:left w:val="single" w:color="auto" w:sz="6" w:space="0"/>
              <w:bottom w:val="single" w:color="auto" w:sz="4" w:space="0"/>
              <w:right w:val="single" w:color="auto" w:sz="6" w:space="0"/>
            </w:tcBorders>
            <w:noWrap w:val="0"/>
            <w:vAlign w:val="center"/>
          </w:tcPr>
          <w:p w14:paraId="14FB8B25">
            <w:pPr>
              <w:rPr>
                <w:rFonts w:ascii="仿宋" w:hAnsi="仿宋" w:eastAsia="仿宋" w:cs="仿宋"/>
                <w:sz w:val="24"/>
                <w:szCs w:val="24"/>
                <w:highlight w:val="none"/>
              </w:rPr>
            </w:pPr>
          </w:p>
        </w:tc>
        <w:tc>
          <w:tcPr>
            <w:tcW w:w="1567" w:type="dxa"/>
            <w:tcBorders>
              <w:top w:val="single" w:color="auto" w:sz="4" w:space="0"/>
              <w:left w:val="single" w:color="auto" w:sz="6" w:space="0"/>
              <w:bottom w:val="single" w:color="auto" w:sz="4" w:space="0"/>
              <w:right w:val="single" w:color="auto" w:sz="6" w:space="0"/>
            </w:tcBorders>
            <w:noWrap w:val="0"/>
            <w:vAlign w:val="center"/>
          </w:tcPr>
          <w:p w14:paraId="3A382897">
            <w:pPr>
              <w:rPr>
                <w:rFonts w:ascii="仿宋" w:hAnsi="仿宋" w:eastAsia="仿宋" w:cs="仿宋"/>
                <w:sz w:val="24"/>
                <w:szCs w:val="24"/>
                <w:highlight w:val="none"/>
              </w:rPr>
            </w:pPr>
          </w:p>
        </w:tc>
        <w:tc>
          <w:tcPr>
            <w:tcW w:w="1629" w:type="dxa"/>
            <w:tcBorders>
              <w:top w:val="single" w:color="auto" w:sz="4" w:space="0"/>
              <w:left w:val="single" w:color="auto" w:sz="6" w:space="0"/>
              <w:bottom w:val="single" w:color="auto" w:sz="4" w:space="0"/>
              <w:right w:val="single" w:color="auto" w:sz="6" w:space="0"/>
            </w:tcBorders>
            <w:noWrap w:val="0"/>
            <w:vAlign w:val="center"/>
          </w:tcPr>
          <w:p w14:paraId="063D4CDB">
            <w:pPr>
              <w:rPr>
                <w:rFonts w:ascii="仿宋" w:hAnsi="仿宋" w:eastAsia="仿宋" w:cs="仿宋"/>
                <w:sz w:val="24"/>
                <w:szCs w:val="24"/>
                <w:highlight w:val="none"/>
              </w:rPr>
            </w:pPr>
          </w:p>
        </w:tc>
        <w:tc>
          <w:tcPr>
            <w:tcW w:w="1307" w:type="dxa"/>
            <w:tcBorders>
              <w:top w:val="single" w:color="auto" w:sz="4" w:space="0"/>
              <w:left w:val="single" w:color="auto" w:sz="6" w:space="0"/>
              <w:bottom w:val="single" w:color="auto" w:sz="4" w:space="0"/>
              <w:right w:val="single" w:color="auto" w:sz="4" w:space="0"/>
            </w:tcBorders>
            <w:noWrap w:val="0"/>
            <w:vAlign w:val="center"/>
          </w:tcPr>
          <w:p w14:paraId="260FAC31">
            <w:pPr>
              <w:rPr>
                <w:rFonts w:ascii="仿宋" w:hAnsi="仿宋" w:eastAsia="仿宋" w:cs="仿宋"/>
                <w:sz w:val="24"/>
                <w:szCs w:val="24"/>
                <w:highlight w:val="none"/>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558A1CAE">
            <w:pPr>
              <w:rPr>
                <w:rFonts w:ascii="仿宋" w:hAnsi="仿宋" w:eastAsia="仿宋" w:cs="仿宋"/>
                <w:sz w:val="24"/>
                <w:szCs w:val="24"/>
                <w:highlight w:val="none"/>
              </w:rPr>
            </w:pPr>
          </w:p>
        </w:tc>
      </w:tr>
      <w:tr w14:paraId="6B4F954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980" w:type="dxa"/>
            <w:tcBorders>
              <w:top w:val="single" w:color="auto" w:sz="4" w:space="0"/>
              <w:left w:val="single" w:color="auto" w:sz="4" w:space="0"/>
              <w:bottom w:val="single" w:color="auto" w:sz="4" w:space="0"/>
              <w:right w:val="single" w:color="auto" w:sz="6" w:space="0"/>
            </w:tcBorders>
            <w:noWrap w:val="0"/>
            <w:vAlign w:val="center"/>
          </w:tcPr>
          <w:p w14:paraId="497C3F66">
            <w:pPr>
              <w:rPr>
                <w:rFonts w:ascii="仿宋" w:hAnsi="仿宋" w:eastAsia="仿宋" w:cs="仿宋"/>
                <w:sz w:val="24"/>
                <w:szCs w:val="24"/>
                <w:highlight w:val="none"/>
              </w:rPr>
            </w:pPr>
          </w:p>
        </w:tc>
        <w:tc>
          <w:tcPr>
            <w:tcW w:w="1440" w:type="dxa"/>
            <w:tcBorders>
              <w:top w:val="single" w:color="auto" w:sz="4" w:space="0"/>
              <w:left w:val="single" w:color="auto" w:sz="6" w:space="0"/>
              <w:bottom w:val="single" w:color="auto" w:sz="4" w:space="0"/>
              <w:right w:val="single" w:color="auto" w:sz="6" w:space="0"/>
            </w:tcBorders>
            <w:noWrap w:val="0"/>
            <w:vAlign w:val="center"/>
          </w:tcPr>
          <w:p w14:paraId="0CCEEEAE">
            <w:pPr>
              <w:rPr>
                <w:rFonts w:ascii="仿宋" w:hAnsi="仿宋" w:eastAsia="仿宋" w:cs="仿宋"/>
                <w:sz w:val="24"/>
                <w:szCs w:val="24"/>
                <w:highlight w:val="none"/>
              </w:rPr>
            </w:pPr>
          </w:p>
        </w:tc>
        <w:tc>
          <w:tcPr>
            <w:tcW w:w="1567" w:type="dxa"/>
            <w:tcBorders>
              <w:top w:val="single" w:color="auto" w:sz="4" w:space="0"/>
              <w:left w:val="single" w:color="auto" w:sz="6" w:space="0"/>
              <w:bottom w:val="single" w:color="auto" w:sz="4" w:space="0"/>
              <w:right w:val="single" w:color="auto" w:sz="6" w:space="0"/>
            </w:tcBorders>
            <w:noWrap w:val="0"/>
            <w:vAlign w:val="center"/>
          </w:tcPr>
          <w:p w14:paraId="6E131E4A">
            <w:pPr>
              <w:rPr>
                <w:rFonts w:ascii="仿宋" w:hAnsi="仿宋" w:eastAsia="仿宋" w:cs="仿宋"/>
                <w:sz w:val="24"/>
                <w:szCs w:val="24"/>
                <w:highlight w:val="none"/>
              </w:rPr>
            </w:pPr>
          </w:p>
        </w:tc>
        <w:tc>
          <w:tcPr>
            <w:tcW w:w="1629" w:type="dxa"/>
            <w:tcBorders>
              <w:top w:val="single" w:color="auto" w:sz="4" w:space="0"/>
              <w:left w:val="single" w:color="auto" w:sz="6" w:space="0"/>
              <w:bottom w:val="single" w:color="auto" w:sz="4" w:space="0"/>
              <w:right w:val="single" w:color="auto" w:sz="6" w:space="0"/>
            </w:tcBorders>
            <w:noWrap w:val="0"/>
            <w:vAlign w:val="center"/>
          </w:tcPr>
          <w:p w14:paraId="04753BFF">
            <w:pPr>
              <w:rPr>
                <w:rFonts w:ascii="仿宋" w:hAnsi="仿宋" w:eastAsia="仿宋" w:cs="仿宋"/>
                <w:sz w:val="24"/>
                <w:szCs w:val="24"/>
                <w:highlight w:val="none"/>
              </w:rPr>
            </w:pPr>
          </w:p>
        </w:tc>
        <w:tc>
          <w:tcPr>
            <w:tcW w:w="1307" w:type="dxa"/>
            <w:tcBorders>
              <w:top w:val="single" w:color="auto" w:sz="4" w:space="0"/>
              <w:left w:val="single" w:color="auto" w:sz="6" w:space="0"/>
              <w:bottom w:val="single" w:color="auto" w:sz="4" w:space="0"/>
              <w:right w:val="single" w:color="auto" w:sz="4" w:space="0"/>
            </w:tcBorders>
            <w:noWrap w:val="0"/>
            <w:vAlign w:val="center"/>
          </w:tcPr>
          <w:p w14:paraId="4CE433D8">
            <w:pPr>
              <w:rPr>
                <w:rFonts w:ascii="仿宋" w:hAnsi="仿宋" w:eastAsia="仿宋" w:cs="仿宋"/>
                <w:sz w:val="24"/>
                <w:szCs w:val="24"/>
                <w:highlight w:val="none"/>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61BACDAF">
            <w:pPr>
              <w:rPr>
                <w:rFonts w:ascii="仿宋" w:hAnsi="仿宋" w:eastAsia="仿宋" w:cs="仿宋"/>
                <w:sz w:val="24"/>
                <w:szCs w:val="24"/>
                <w:highlight w:val="none"/>
              </w:rPr>
            </w:pPr>
          </w:p>
        </w:tc>
      </w:tr>
      <w:tr w14:paraId="33E92CC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980" w:type="dxa"/>
            <w:tcBorders>
              <w:top w:val="single" w:color="auto" w:sz="4" w:space="0"/>
              <w:left w:val="single" w:color="auto" w:sz="4" w:space="0"/>
              <w:bottom w:val="single" w:color="auto" w:sz="4" w:space="0"/>
              <w:right w:val="single" w:color="auto" w:sz="6" w:space="0"/>
            </w:tcBorders>
            <w:noWrap w:val="0"/>
            <w:vAlign w:val="center"/>
          </w:tcPr>
          <w:p w14:paraId="7A873A36">
            <w:pPr>
              <w:rPr>
                <w:rFonts w:ascii="仿宋" w:hAnsi="仿宋" w:eastAsia="仿宋" w:cs="仿宋"/>
                <w:sz w:val="24"/>
                <w:szCs w:val="24"/>
                <w:highlight w:val="none"/>
              </w:rPr>
            </w:pPr>
          </w:p>
        </w:tc>
        <w:tc>
          <w:tcPr>
            <w:tcW w:w="1440" w:type="dxa"/>
            <w:tcBorders>
              <w:top w:val="single" w:color="auto" w:sz="4" w:space="0"/>
              <w:left w:val="single" w:color="auto" w:sz="6" w:space="0"/>
              <w:bottom w:val="single" w:color="auto" w:sz="4" w:space="0"/>
              <w:right w:val="single" w:color="auto" w:sz="6" w:space="0"/>
            </w:tcBorders>
            <w:noWrap w:val="0"/>
            <w:vAlign w:val="center"/>
          </w:tcPr>
          <w:p w14:paraId="0CA9ECBD">
            <w:pPr>
              <w:rPr>
                <w:rFonts w:ascii="仿宋" w:hAnsi="仿宋" w:eastAsia="仿宋" w:cs="仿宋"/>
                <w:sz w:val="24"/>
                <w:szCs w:val="24"/>
                <w:highlight w:val="none"/>
              </w:rPr>
            </w:pPr>
          </w:p>
        </w:tc>
        <w:tc>
          <w:tcPr>
            <w:tcW w:w="1567" w:type="dxa"/>
            <w:tcBorders>
              <w:top w:val="single" w:color="auto" w:sz="4" w:space="0"/>
              <w:left w:val="single" w:color="auto" w:sz="6" w:space="0"/>
              <w:bottom w:val="single" w:color="auto" w:sz="4" w:space="0"/>
              <w:right w:val="single" w:color="auto" w:sz="6" w:space="0"/>
            </w:tcBorders>
            <w:noWrap w:val="0"/>
            <w:vAlign w:val="center"/>
          </w:tcPr>
          <w:p w14:paraId="5E2202C8">
            <w:pPr>
              <w:rPr>
                <w:rFonts w:ascii="仿宋" w:hAnsi="仿宋" w:eastAsia="仿宋" w:cs="仿宋"/>
                <w:sz w:val="24"/>
                <w:szCs w:val="24"/>
                <w:highlight w:val="none"/>
              </w:rPr>
            </w:pPr>
          </w:p>
        </w:tc>
        <w:tc>
          <w:tcPr>
            <w:tcW w:w="1629" w:type="dxa"/>
            <w:tcBorders>
              <w:top w:val="single" w:color="auto" w:sz="4" w:space="0"/>
              <w:left w:val="single" w:color="auto" w:sz="6" w:space="0"/>
              <w:bottom w:val="single" w:color="auto" w:sz="4" w:space="0"/>
              <w:right w:val="single" w:color="auto" w:sz="6" w:space="0"/>
            </w:tcBorders>
            <w:noWrap w:val="0"/>
            <w:vAlign w:val="center"/>
          </w:tcPr>
          <w:p w14:paraId="75A6AD0F">
            <w:pPr>
              <w:rPr>
                <w:rFonts w:ascii="仿宋" w:hAnsi="仿宋" w:eastAsia="仿宋" w:cs="仿宋"/>
                <w:sz w:val="24"/>
                <w:szCs w:val="24"/>
                <w:highlight w:val="none"/>
              </w:rPr>
            </w:pPr>
          </w:p>
        </w:tc>
        <w:tc>
          <w:tcPr>
            <w:tcW w:w="1307" w:type="dxa"/>
            <w:tcBorders>
              <w:top w:val="single" w:color="auto" w:sz="4" w:space="0"/>
              <w:left w:val="single" w:color="auto" w:sz="6" w:space="0"/>
              <w:bottom w:val="single" w:color="auto" w:sz="4" w:space="0"/>
              <w:right w:val="single" w:color="auto" w:sz="4" w:space="0"/>
            </w:tcBorders>
            <w:noWrap w:val="0"/>
            <w:vAlign w:val="center"/>
          </w:tcPr>
          <w:p w14:paraId="37F3D57E">
            <w:pPr>
              <w:rPr>
                <w:rFonts w:ascii="仿宋" w:hAnsi="仿宋" w:eastAsia="仿宋" w:cs="仿宋"/>
                <w:sz w:val="24"/>
                <w:szCs w:val="24"/>
                <w:highlight w:val="none"/>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2156E8E1">
            <w:pPr>
              <w:rPr>
                <w:rFonts w:ascii="仿宋" w:hAnsi="仿宋" w:eastAsia="仿宋" w:cs="仿宋"/>
                <w:sz w:val="24"/>
                <w:szCs w:val="24"/>
                <w:highlight w:val="none"/>
              </w:rPr>
            </w:pPr>
          </w:p>
        </w:tc>
      </w:tr>
    </w:tbl>
    <w:p w14:paraId="6F8E60B7">
      <w:pPr>
        <w:widowControl/>
        <w:spacing w:line="360" w:lineRule="auto"/>
        <w:ind w:firstLine="482" w:firstLineChars="200"/>
        <w:jc w:val="left"/>
        <w:rPr>
          <w:rFonts w:ascii="仿宋" w:hAnsi="仿宋" w:eastAsia="仿宋" w:cs="仿宋"/>
          <w:b/>
          <w:sz w:val="24"/>
          <w:szCs w:val="21"/>
          <w:highlight w:val="none"/>
        </w:rPr>
      </w:pPr>
    </w:p>
    <w:p w14:paraId="6D6DC06C">
      <w:pPr>
        <w:pStyle w:val="22"/>
        <w:rPr>
          <w:rFonts w:ascii="仿宋" w:hAnsi="仿宋" w:eastAsia="仿宋" w:cs="仿宋"/>
          <w:highlight w:val="none"/>
        </w:rPr>
      </w:pPr>
    </w:p>
    <w:p w14:paraId="0744E8B9">
      <w:pPr>
        <w:pStyle w:val="22"/>
        <w:spacing w:line="360" w:lineRule="auto"/>
        <w:rPr>
          <w:rFonts w:ascii="仿宋" w:hAnsi="仿宋" w:eastAsia="仿宋" w:cs="仿宋"/>
          <w:b/>
          <w:bCs/>
          <w:sz w:val="24"/>
          <w:szCs w:val="16"/>
          <w:highlight w:val="none"/>
        </w:rPr>
      </w:pPr>
      <w:r>
        <w:rPr>
          <w:rFonts w:hint="eastAsia" w:ascii="仿宋" w:hAnsi="仿宋" w:eastAsia="仿宋" w:cs="仿宋"/>
          <w:b/>
          <w:bCs/>
          <w:sz w:val="24"/>
          <w:szCs w:val="16"/>
          <w:highlight w:val="none"/>
        </w:rPr>
        <w:t>注：提供业绩合同复印件或中标通知书复印件或中选通知书复印件，并加盖比选申请人公章。</w:t>
      </w:r>
    </w:p>
    <w:p w14:paraId="293E1045">
      <w:pPr>
        <w:widowControl/>
        <w:spacing w:line="360" w:lineRule="auto"/>
        <w:ind w:firstLine="480" w:firstLineChars="200"/>
        <w:jc w:val="left"/>
        <w:rPr>
          <w:rFonts w:ascii="仿宋" w:hAnsi="仿宋" w:eastAsia="仿宋" w:cs="仿宋"/>
          <w:sz w:val="24"/>
          <w:szCs w:val="24"/>
          <w:highlight w:val="none"/>
        </w:rPr>
      </w:pPr>
    </w:p>
    <w:p w14:paraId="6E419A4A">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 xml:space="preserve">比选申请人名称（盖章）： </w:t>
      </w:r>
    </w:p>
    <w:p w14:paraId="3E57DB66">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法定代表人或授权代表（签字或加盖个人名章）：</w:t>
      </w:r>
    </w:p>
    <w:p w14:paraId="3E194609">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响应日期：</w:t>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年 </w:t>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月 </w:t>
      </w:r>
      <w:r>
        <w:rPr>
          <w:rFonts w:hint="eastAsia" w:ascii="仿宋" w:hAnsi="仿宋" w:eastAsia="仿宋" w:cs="仿宋"/>
          <w:sz w:val="24"/>
          <w:szCs w:val="24"/>
          <w:highlight w:val="none"/>
        </w:rPr>
        <w:tab/>
      </w:r>
      <w:r>
        <w:rPr>
          <w:rFonts w:hint="eastAsia" w:ascii="仿宋" w:hAnsi="仿宋" w:eastAsia="仿宋" w:cs="仿宋"/>
          <w:sz w:val="24"/>
          <w:szCs w:val="24"/>
          <w:highlight w:val="none"/>
        </w:rPr>
        <w:t>日</w:t>
      </w:r>
    </w:p>
    <w:p w14:paraId="2AE688D2">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 xml:space="preserve"> </w:t>
      </w:r>
    </w:p>
    <w:p w14:paraId="7CC48BD5">
      <w:pPr>
        <w:widowControl/>
        <w:spacing w:line="360" w:lineRule="auto"/>
        <w:ind w:firstLine="480" w:firstLineChars="200"/>
        <w:jc w:val="left"/>
        <w:rPr>
          <w:rFonts w:ascii="仿宋" w:hAnsi="仿宋" w:eastAsia="仿宋" w:cs="仿宋"/>
          <w:sz w:val="24"/>
          <w:szCs w:val="24"/>
          <w:highlight w:val="none"/>
        </w:rPr>
      </w:pPr>
    </w:p>
    <w:p w14:paraId="598774B2">
      <w:pPr>
        <w:widowControl/>
        <w:jc w:val="left"/>
        <w:rPr>
          <w:rFonts w:ascii="仿宋" w:hAnsi="仿宋" w:eastAsia="仿宋" w:cs="仿宋"/>
          <w:highlight w:val="none"/>
        </w:rPr>
      </w:pPr>
      <w:bookmarkStart w:id="67" w:name="_Toc497923238"/>
      <w:r>
        <w:rPr>
          <w:rFonts w:hint="eastAsia" w:ascii="仿宋" w:hAnsi="仿宋" w:eastAsia="仿宋" w:cs="仿宋"/>
          <w:highlight w:val="none"/>
        </w:rPr>
        <w:br w:type="page"/>
      </w:r>
    </w:p>
    <w:p w14:paraId="07399C72">
      <w:pPr>
        <w:pStyle w:val="3"/>
        <w:ind w:firstLine="0" w:firstLineChars="0"/>
        <w:rPr>
          <w:rFonts w:ascii="仿宋" w:hAnsi="仿宋" w:eastAsia="仿宋" w:cs="仿宋"/>
          <w:sz w:val="32"/>
          <w:szCs w:val="32"/>
          <w:highlight w:val="none"/>
        </w:rPr>
      </w:pPr>
      <w:r>
        <w:rPr>
          <w:rFonts w:hint="eastAsia" w:ascii="仿宋" w:hAnsi="仿宋" w:eastAsia="仿宋" w:cs="仿宋"/>
          <w:sz w:val="32"/>
          <w:szCs w:val="32"/>
          <w:highlight w:val="none"/>
        </w:rPr>
        <w:t>十、比选申请人本项目负责人、服务人员情况表</w:t>
      </w:r>
      <w:bookmarkEnd w:id="67"/>
    </w:p>
    <w:tbl>
      <w:tblPr>
        <w:tblStyle w:val="59"/>
        <w:tblpPr w:leftFromText="180" w:rightFromText="180" w:vertAnchor="text" w:tblpY="1"/>
        <w:tblOverlap w:val="never"/>
        <w:tblW w:w="9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812"/>
        <w:gridCol w:w="750"/>
        <w:gridCol w:w="863"/>
        <w:gridCol w:w="1025"/>
        <w:gridCol w:w="950"/>
        <w:gridCol w:w="712"/>
        <w:gridCol w:w="850"/>
        <w:gridCol w:w="725"/>
        <w:gridCol w:w="1175"/>
      </w:tblGrid>
      <w:tr w14:paraId="718B2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149" w:type="dxa"/>
            <w:vMerge w:val="restart"/>
            <w:noWrap w:val="0"/>
            <w:vAlign w:val="center"/>
          </w:tcPr>
          <w:p w14:paraId="6BB59B88">
            <w:pPr>
              <w:spacing w:line="4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类别</w:t>
            </w:r>
          </w:p>
        </w:tc>
        <w:tc>
          <w:tcPr>
            <w:tcW w:w="812" w:type="dxa"/>
            <w:vMerge w:val="restart"/>
            <w:noWrap w:val="0"/>
            <w:vAlign w:val="center"/>
          </w:tcPr>
          <w:p w14:paraId="0060210C">
            <w:pPr>
              <w:spacing w:line="4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职务</w:t>
            </w:r>
          </w:p>
        </w:tc>
        <w:tc>
          <w:tcPr>
            <w:tcW w:w="750" w:type="dxa"/>
            <w:vMerge w:val="restart"/>
            <w:noWrap w:val="0"/>
            <w:vAlign w:val="center"/>
          </w:tcPr>
          <w:p w14:paraId="782D0B96">
            <w:pPr>
              <w:spacing w:line="4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姓名</w:t>
            </w:r>
          </w:p>
        </w:tc>
        <w:tc>
          <w:tcPr>
            <w:tcW w:w="863" w:type="dxa"/>
            <w:vMerge w:val="restart"/>
            <w:noWrap w:val="0"/>
            <w:vAlign w:val="center"/>
          </w:tcPr>
          <w:p w14:paraId="6B2F6F30">
            <w:pPr>
              <w:spacing w:line="4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职称</w:t>
            </w:r>
          </w:p>
        </w:tc>
        <w:tc>
          <w:tcPr>
            <w:tcW w:w="1025" w:type="dxa"/>
            <w:vMerge w:val="restart"/>
            <w:noWrap w:val="0"/>
            <w:vAlign w:val="center"/>
          </w:tcPr>
          <w:p w14:paraId="48E8563A">
            <w:pPr>
              <w:spacing w:line="4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常住地</w:t>
            </w:r>
          </w:p>
        </w:tc>
        <w:tc>
          <w:tcPr>
            <w:tcW w:w="3237" w:type="dxa"/>
            <w:gridSpan w:val="4"/>
            <w:noWrap w:val="0"/>
            <w:vAlign w:val="center"/>
          </w:tcPr>
          <w:p w14:paraId="3C8C126A">
            <w:pPr>
              <w:spacing w:line="4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资格证明（附复印件）</w:t>
            </w:r>
          </w:p>
        </w:tc>
        <w:tc>
          <w:tcPr>
            <w:tcW w:w="1175" w:type="dxa"/>
            <w:vMerge w:val="restart"/>
            <w:noWrap w:val="0"/>
            <w:vAlign w:val="center"/>
          </w:tcPr>
          <w:p w14:paraId="09DA46C7">
            <w:pPr>
              <w:spacing w:line="4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联系电话</w:t>
            </w:r>
          </w:p>
        </w:tc>
      </w:tr>
      <w:tr w14:paraId="5AE22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149" w:type="dxa"/>
            <w:vMerge w:val="continue"/>
            <w:noWrap w:val="0"/>
            <w:vAlign w:val="center"/>
          </w:tcPr>
          <w:p w14:paraId="4590D197">
            <w:pPr>
              <w:rPr>
                <w:rFonts w:ascii="仿宋" w:hAnsi="仿宋" w:eastAsia="仿宋" w:cs="仿宋"/>
                <w:sz w:val="24"/>
                <w:szCs w:val="24"/>
                <w:highlight w:val="none"/>
              </w:rPr>
            </w:pPr>
          </w:p>
        </w:tc>
        <w:tc>
          <w:tcPr>
            <w:tcW w:w="812" w:type="dxa"/>
            <w:vMerge w:val="continue"/>
            <w:noWrap w:val="0"/>
            <w:vAlign w:val="center"/>
          </w:tcPr>
          <w:p w14:paraId="62770388">
            <w:pPr>
              <w:rPr>
                <w:rFonts w:ascii="仿宋" w:hAnsi="仿宋" w:eastAsia="仿宋" w:cs="仿宋"/>
                <w:sz w:val="24"/>
                <w:szCs w:val="24"/>
                <w:highlight w:val="none"/>
              </w:rPr>
            </w:pPr>
          </w:p>
        </w:tc>
        <w:tc>
          <w:tcPr>
            <w:tcW w:w="750" w:type="dxa"/>
            <w:vMerge w:val="continue"/>
            <w:noWrap w:val="0"/>
            <w:vAlign w:val="center"/>
          </w:tcPr>
          <w:p w14:paraId="3130A647">
            <w:pPr>
              <w:rPr>
                <w:rFonts w:ascii="仿宋" w:hAnsi="仿宋" w:eastAsia="仿宋" w:cs="仿宋"/>
                <w:sz w:val="24"/>
                <w:szCs w:val="24"/>
                <w:highlight w:val="none"/>
              </w:rPr>
            </w:pPr>
          </w:p>
        </w:tc>
        <w:tc>
          <w:tcPr>
            <w:tcW w:w="863" w:type="dxa"/>
            <w:vMerge w:val="continue"/>
            <w:noWrap w:val="0"/>
            <w:vAlign w:val="center"/>
          </w:tcPr>
          <w:p w14:paraId="58504368">
            <w:pPr>
              <w:rPr>
                <w:rFonts w:ascii="仿宋" w:hAnsi="仿宋" w:eastAsia="仿宋" w:cs="仿宋"/>
                <w:sz w:val="24"/>
                <w:szCs w:val="24"/>
                <w:highlight w:val="none"/>
              </w:rPr>
            </w:pPr>
          </w:p>
        </w:tc>
        <w:tc>
          <w:tcPr>
            <w:tcW w:w="1025" w:type="dxa"/>
            <w:vMerge w:val="continue"/>
            <w:noWrap w:val="0"/>
            <w:vAlign w:val="center"/>
          </w:tcPr>
          <w:p w14:paraId="44870B9E">
            <w:pPr>
              <w:rPr>
                <w:rFonts w:ascii="仿宋" w:hAnsi="仿宋" w:eastAsia="仿宋" w:cs="仿宋"/>
                <w:sz w:val="24"/>
                <w:szCs w:val="24"/>
                <w:highlight w:val="none"/>
              </w:rPr>
            </w:pPr>
          </w:p>
        </w:tc>
        <w:tc>
          <w:tcPr>
            <w:tcW w:w="950" w:type="dxa"/>
            <w:noWrap w:val="0"/>
            <w:vAlign w:val="center"/>
          </w:tcPr>
          <w:p w14:paraId="4E8A23F5">
            <w:pPr>
              <w:spacing w:line="4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证书名称</w:t>
            </w:r>
          </w:p>
        </w:tc>
        <w:tc>
          <w:tcPr>
            <w:tcW w:w="712" w:type="dxa"/>
            <w:noWrap w:val="0"/>
            <w:vAlign w:val="center"/>
          </w:tcPr>
          <w:p w14:paraId="1244327B">
            <w:pPr>
              <w:spacing w:line="4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级别</w:t>
            </w:r>
          </w:p>
        </w:tc>
        <w:tc>
          <w:tcPr>
            <w:tcW w:w="850" w:type="dxa"/>
            <w:noWrap w:val="0"/>
            <w:vAlign w:val="center"/>
          </w:tcPr>
          <w:p w14:paraId="7D1777D0">
            <w:pPr>
              <w:spacing w:line="4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证号</w:t>
            </w:r>
          </w:p>
        </w:tc>
        <w:tc>
          <w:tcPr>
            <w:tcW w:w="725" w:type="dxa"/>
            <w:noWrap w:val="0"/>
            <w:vAlign w:val="center"/>
          </w:tcPr>
          <w:p w14:paraId="18976C30">
            <w:pPr>
              <w:spacing w:line="4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专业</w:t>
            </w:r>
          </w:p>
        </w:tc>
        <w:tc>
          <w:tcPr>
            <w:tcW w:w="1175" w:type="dxa"/>
            <w:vMerge w:val="continue"/>
            <w:noWrap w:val="0"/>
            <w:vAlign w:val="center"/>
          </w:tcPr>
          <w:p w14:paraId="71531ACA">
            <w:pPr>
              <w:spacing w:line="400" w:lineRule="exact"/>
              <w:jc w:val="center"/>
              <w:rPr>
                <w:rFonts w:ascii="仿宋" w:hAnsi="仿宋" w:eastAsia="仿宋" w:cs="仿宋"/>
                <w:sz w:val="24"/>
                <w:szCs w:val="24"/>
                <w:highlight w:val="none"/>
              </w:rPr>
            </w:pPr>
          </w:p>
        </w:tc>
      </w:tr>
      <w:tr w14:paraId="60421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149" w:type="dxa"/>
            <w:vMerge w:val="restart"/>
            <w:noWrap w:val="0"/>
            <w:vAlign w:val="top"/>
          </w:tcPr>
          <w:p w14:paraId="166B0B5D">
            <w:pPr>
              <w:spacing w:line="4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项目</w:t>
            </w:r>
          </w:p>
          <w:p w14:paraId="27C2E833">
            <w:pPr>
              <w:spacing w:line="4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负责</w:t>
            </w:r>
          </w:p>
          <w:p w14:paraId="6A48D411">
            <w:pPr>
              <w:spacing w:line="4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人</w:t>
            </w:r>
          </w:p>
        </w:tc>
        <w:tc>
          <w:tcPr>
            <w:tcW w:w="812" w:type="dxa"/>
            <w:noWrap w:val="0"/>
            <w:vAlign w:val="top"/>
          </w:tcPr>
          <w:p w14:paraId="40F70945">
            <w:pPr>
              <w:spacing w:line="400" w:lineRule="exact"/>
              <w:jc w:val="center"/>
              <w:rPr>
                <w:rFonts w:ascii="仿宋" w:hAnsi="仿宋" w:eastAsia="仿宋" w:cs="仿宋"/>
                <w:sz w:val="24"/>
                <w:szCs w:val="24"/>
                <w:highlight w:val="none"/>
              </w:rPr>
            </w:pPr>
          </w:p>
        </w:tc>
        <w:tc>
          <w:tcPr>
            <w:tcW w:w="750" w:type="dxa"/>
            <w:noWrap w:val="0"/>
            <w:vAlign w:val="top"/>
          </w:tcPr>
          <w:p w14:paraId="6C32B0B4">
            <w:pPr>
              <w:spacing w:line="400" w:lineRule="exact"/>
              <w:jc w:val="center"/>
              <w:rPr>
                <w:rFonts w:ascii="仿宋" w:hAnsi="仿宋" w:eastAsia="仿宋" w:cs="仿宋"/>
                <w:sz w:val="24"/>
                <w:szCs w:val="24"/>
                <w:highlight w:val="none"/>
              </w:rPr>
            </w:pPr>
          </w:p>
        </w:tc>
        <w:tc>
          <w:tcPr>
            <w:tcW w:w="863" w:type="dxa"/>
            <w:noWrap w:val="0"/>
            <w:vAlign w:val="top"/>
          </w:tcPr>
          <w:p w14:paraId="5FB77BB1">
            <w:pPr>
              <w:spacing w:line="400" w:lineRule="exact"/>
              <w:jc w:val="center"/>
              <w:rPr>
                <w:rFonts w:ascii="仿宋" w:hAnsi="仿宋" w:eastAsia="仿宋" w:cs="仿宋"/>
                <w:sz w:val="24"/>
                <w:szCs w:val="24"/>
                <w:highlight w:val="none"/>
              </w:rPr>
            </w:pPr>
          </w:p>
        </w:tc>
        <w:tc>
          <w:tcPr>
            <w:tcW w:w="1025" w:type="dxa"/>
            <w:noWrap w:val="0"/>
            <w:vAlign w:val="top"/>
          </w:tcPr>
          <w:p w14:paraId="5DFF060A">
            <w:pPr>
              <w:spacing w:line="400" w:lineRule="exact"/>
              <w:jc w:val="center"/>
              <w:rPr>
                <w:rFonts w:ascii="仿宋" w:hAnsi="仿宋" w:eastAsia="仿宋" w:cs="仿宋"/>
                <w:sz w:val="24"/>
                <w:szCs w:val="24"/>
                <w:highlight w:val="none"/>
              </w:rPr>
            </w:pPr>
          </w:p>
        </w:tc>
        <w:tc>
          <w:tcPr>
            <w:tcW w:w="950" w:type="dxa"/>
            <w:noWrap w:val="0"/>
            <w:vAlign w:val="top"/>
          </w:tcPr>
          <w:p w14:paraId="21035ADE">
            <w:pPr>
              <w:spacing w:line="400" w:lineRule="exact"/>
              <w:jc w:val="center"/>
              <w:rPr>
                <w:rFonts w:ascii="仿宋" w:hAnsi="仿宋" w:eastAsia="仿宋" w:cs="仿宋"/>
                <w:sz w:val="24"/>
                <w:szCs w:val="24"/>
                <w:highlight w:val="none"/>
              </w:rPr>
            </w:pPr>
          </w:p>
        </w:tc>
        <w:tc>
          <w:tcPr>
            <w:tcW w:w="712" w:type="dxa"/>
            <w:noWrap w:val="0"/>
            <w:vAlign w:val="top"/>
          </w:tcPr>
          <w:p w14:paraId="20E26826">
            <w:pPr>
              <w:spacing w:line="400" w:lineRule="exact"/>
              <w:jc w:val="center"/>
              <w:rPr>
                <w:rFonts w:ascii="仿宋" w:hAnsi="仿宋" w:eastAsia="仿宋" w:cs="仿宋"/>
                <w:sz w:val="24"/>
                <w:szCs w:val="24"/>
                <w:highlight w:val="none"/>
              </w:rPr>
            </w:pPr>
          </w:p>
        </w:tc>
        <w:tc>
          <w:tcPr>
            <w:tcW w:w="850" w:type="dxa"/>
            <w:noWrap w:val="0"/>
            <w:vAlign w:val="top"/>
          </w:tcPr>
          <w:p w14:paraId="283FC5ED">
            <w:pPr>
              <w:spacing w:line="400" w:lineRule="exact"/>
              <w:jc w:val="center"/>
              <w:rPr>
                <w:rFonts w:ascii="仿宋" w:hAnsi="仿宋" w:eastAsia="仿宋" w:cs="仿宋"/>
                <w:sz w:val="24"/>
                <w:szCs w:val="24"/>
                <w:highlight w:val="none"/>
              </w:rPr>
            </w:pPr>
          </w:p>
        </w:tc>
        <w:tc>
          <w:tcPr>
            <w:tcW w:w="725" w:type="dxa"/>
            <w:noWrap w:val="0"/>
            <w:vAlign w:val="top"/>
          </w:tcPr>
          <w:p w14:paraId="794D419E">
            <w:pPr>
              <w:spacing w:line="400" w:lineRule="exact"/>
              <w:jc w:val="center"/>
              <w:rPr>
                <w:rFonts w:ascii="仿宋" w:hAnsi="仿宋" w:eastAsia="仿宋" w:cs="仿宋"/>
                <w:sz w:val="24"/>
                <w:szCs w:val="24"/>
                <w:highlight w:val="none"/>
              </w:rPr>
            </w:pPr>
          </w:p>
        </w:tc>
        <w:tc>
          <w:tcPr>
            <w:tcW w:w="1175" w:type="dxa"/>
            <w:noWrap w:val="0"/>
            <w:vAlign w:val="top"/>
          </w:tcPr>
          <w:p w14:paraId="21B8B238">
            <w:pPr>
              <w:spacing w:line="400" w:lineRule="exact"/>
              <w:jc w:val="center"/>
              <w:rPr>
                <w:rFonts w:ascii="仿宋" w:hAnsi="仿宋" w:eastAsia="仿宋" w:cs="仿宋"/>
                <w:sz w:val="24"/>
                <w:szCs w:val="24"/>
                <w:highlight w:val="none"/>
              </w:rPr>
            </w:pPr>
          </w:p>
        </w:tc>
      </w:tr>
      <w:tr w14:paraId="307A3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1149" w:type="dxa"/>
            <w:vMerge w:val="continue"/>
            <w:noWrap w:val="0"/>
            <w:vAlign w:val="top"/>
          </w:tcPr>
          <w:p w14:paraId="04E61E29">
            <w:pPr>
              <w:rPr>
                <w:rFonts w:ascii="仿宋" w:hAnsi="仿宋" w:eastAsia="仿宋" w:cs="仿宋"/>
                <w:sz w:val="24"/>
                <w:szCs w:val="24"/>
                <w:highlight w:val="none"/>
              </w:rPr>
            </w:pPr>
          </w:p>
        </w:tc>
        <w:tc>
          <w:tcPr>
            <w:tcW w:w="812" w:type="dxa"/>
            <w:noWrap w:val="0"/>
            <w:vAlign w:val="top"/>
          </w:tcPr>
          <w:p w14:paraId="2301F99C">
            <w:pPr>
              <w:spacing w:line="400" w:lineRule="exact"/>
              <w:jc w:val="center"/>
              <w:rPr>
                <w:rFonts w:ascii="仿宋" w:hAnsi="仿宋" w:eastAsia="仿宋" w:cs="仿宋"/>
                <w:sz w:val="24"/>
                <w:szCs w:val="24"/>
                <w:highlight w:val="none"/>
              </w:rPr>
            </w:pPr>
          </w:p>
        </w:tc>
        <w:tc>
          <w:tcPr>
            <w:tcW w:w="750" w:type="dxa"/>
            <w:noWrap w:val="0"/>
            <w:vAlign w:val="top"/>
          </w:tcPr>
          <w:p w14:paraId="0F13F9E9">
            <w:pPr>
              <w:spacing w:line="400" w:lineRule="exact"/>
              <w:jc w:val="center"/>
              <w:rPr>
                <w:rFonts w:ascii="仿宋" w:hAnsi="仿宋" w:eastAsia="仿宋" w:cs="仿宋"/>
                <w:sz w:val="24"/>
                <w:szCs w:val="24"/>
                <w:highlight w:val="none"/>
              </w:rPr>
            </w:pPr>
          </w:p>
        </w:tc>
        <w:tc>
          <w:tcPr>
            <w:tcW w:w="863" w:type="dxa"/>
            <w:noWrap w:val="0"/>
            <w:vAlign w:val="top"/>
          </w:tcPr>
          <w:p w14:paraId="30BF543D">
            <w:pPr>
              <w:spacing w:line="400" w:lineRule="exact"/>
              <w:jc w:val="center"/>
              <w:rPr>
                <w:rFonts w:ascii="仿宋" w:hAnsi="仿宋" w:eastAsia="仿宋" w:cs="仿宋"/>
                <w:sz w:val="24"/>
                <w:szCs w:val="24"/>
                <w:highlight w:val="none"/>
              </w:rPr>
            </w:pPr>
          </w:p>
        </w:tc>
        <w:tc>
          <w:tcPr>
            <w:tcW w:w="1025" w:type="dxa"/>
            <w:noWrap w:val="0"/>
            <w:vAlign w:val="top"/>
          </w:tcPr>
          <w:p w14:paraId="2813A103">
            <w:pPr>
              <w:spacing w:line="400" w:lineRule="exact"/>
              <w:jc w:val="center"/>
              <w:rPr>
                <w:rFonts w:ascii="仿宋" w:hAnsi="仿宋" w:eastAsia="仿宋" w:cs="仿宋"/>
                <w:sz w:val="24"/>
                <w:szCs w:val="24"/>
                <w:highlight w:val="none"/>
              </w:rPr>
            </w:pPr>
          </w:p>
        </w:tc>
        <w:tc>
          <w:tcPr>
            <w:tcW w:w="950" w:type="dxa"/>
            <w:noWrap w:val="0"/>
            <w:vAlign w:val="top"/>
          </w:tcPr>
          <w:p w14:paraId="04B2C65E">
            <w:pPr>
              <w:spacing w:line="400" w:lineRule="exact"/>
              <w:jc w:val="center"/>
              <w:rPr>
                <w:rFonts w:ascii="仿宋" w:hAnsi="仿宋" w:eastAsia="仿宋" w:cs="仿宋"/>
                <w:sz w:val="24"/>
                <w:szCs w:val="24"/>
                <w:highlight w:val="none"/>
              </w:rPr>
            </w:pPr>
          </w:p>
        </w:tc>
        <w:tc>
          <w:tcPr>
            <w:tcW w:w="712" w:type="dxa"/>
            <w:noWrap w:val="0"/>
            <w:vAlign w:val="top"/>
          </w:tcPr>
          <w:p w14:paraId="53087623">
            <w:pPr>
              <w:spacing w:line="400" w:lineRule="exact"/>
              <w:jc w:val="center"/>
              <w:rPr>
                <w:rFonts w:ascii="仿宋" w:hAnsi="仿宋" w:eastAsia="仿宋" w:cs="仿宋"/>
                <w:sz w:val="24"/>
                <w:szCs w:val="24"/>
                <w:highlight w:val="none"/>
              </w:rPr>
            </w:pPr>
          </w:p>
        </w:tc>
        <w:tc>
          <w:tcPr>
            <w:tcW w:w="850" w:type="dxa"/>
            <w:noWrap w:val="0"/>
            <w:vAlign w:val="top"/>
          </w:tcPr>
          <w:p w14:paraId="144E023D">
            <w:pPr>
              <w:spacing w:line="400" w:lineRule="exact"/>
              <w:jc w:val="center"/>
              <w:rPr>
                <w:rFonts w:ascii="仿宋" w:hAnsi="仿宋" w:eastAsia="仿宋" w:cs="仿宋"/>
                <w:sz w:val="24"/>
                <w:szCs w:val="24"/>
                <w:highlight w:val="none"/>
              </w:rPr>
            </w:pPr>
          </w:p>
        </w:tc>
        <w:tc>
          <w:tcPr>
            <w:tcW w:w="725" w:type="dxa"/>
            <w:noWrap w:val="0"/>
            <w:vAlign w:val="top"/>
          </w:tcPr>
          <w:p w14:paraId="2D85E09A">
            <w:pPr>
              <w:spacing w:line="400" w:lineRule="exact"/>
              <w:jc w:val="center"/>
              <w:rPr>
                <w:rFonts w:ascii="仿宋" w:hAnsi="仿宋" w:eastAsia="仿宋" w:cs="仿宋"/>
                <w:sz w:val="24"/>
                <w:szCs w:val="24"/>
                <w:highlight w:val="none"/>
              </w:rPr>
            </w:pPr>
          </w:p>
        </w:tc>
        <w:tc>
          <w:tcPr>
            <w:tcW w:w="1175" w:type="dxa"/>
            <w:noWrap w:val="0"/>
            <w:vAlign w:val="top"/>
          </w:tcPr>
          <w:p w14:paraId="4A59859D">
            <w:pPr>
              <w:spacing w:line="400" w:lineRule="exact"/>
              <w:jc w:val="center"/>
              <w:rPr>
                <w:rFonts w:ascii="仿宋" w:hAnsi="仿宋" w:eastAsia="仿宋" w:cs="仿宋"/>
                <w:sz w:val="24"/>
                <w:szCs w:val="24"/>
                <w:highlight w:val="none"/>
              </w:rPr>
            </w:pPr>
          </w:p>
        </w:tc>
      </w:tr>
      <w:tr w14:paraId="6C045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rPr>
        <w:tc>
          <w:tcPr>
            <w:tcW w:w="1149" w:type="dxa"/>
            <w:vMerge w:val="continue"/>
            <w:noWrap w:val="0"/>
            <w:vAlign w:val="top"/>
          </w:tcPr>
          <w:p w14:paraId="20B47802">
            <w:pPr>
              <w:rPr>
                <w:rFonts w:ascii="仿宋" w:hAnsi="仿宋" w:eastAsia="仿宋" w:cs="仿宋"/>
                <w:sz w:val="24"/>
                <w:szCs w:val="24"/>
                <w:highlight w:val="none"/>
              </w:rPr>
            </w:pPr>
          </w:p>
        </w:tc>
        <w:tc>
          <w:tcPr>
            <w:tcW w:w="812" w:type="dxa"/>
            <w:noWrap w:val="0"/>
            <w:vAlign w:val="top"/>
          </w:tcPr>
          <w:p w14:paraId="4D9917AF">
            <w:pPr>
              <w:spacing w:line="400" w:lineRule="exact"/>
              <w:jc w:val="center"/>
              <w:rPr>
                <w:rFonts w:ascii="仿宋" w:hAnsi="仿宋" w:eastAsia="仿宋" w:cs="仿宋"/>
                <w:sz w:val="24"/>
                <w:szCs w:val="24"/>
                <w:highlight w:val="none"/>
              </w:rPr>
            </w:pPr>
          </w:p>
        </w:tc>
        <w:tc>
          <w:tcPr>
            <w:tcW w:w="750" w:type="dxa"/>
            <w:noWrap w:val="0"/>
            <w:vAlign w:val="top"/>
          </w:tcPr>
          <w:p w14:paraId="2A9EBEAB">
            <w:pPr>
              <w:spacing w:line="400" w:lineRule="exact"/>
              <w:jc w:val="center"/>
              <w:rPr>
                <w:rFonts w:ascii="仿宋" w:hAnsi="仿宋" w:eastAsia="仿宋" w:cs="仿宋"/>
                <w:sz w:val="24"/>
                <w:szCs w:val="24"/>
                <w:highlight w:val="none"/>
              </w:rPr>
            </w:pPr>
          </w:p>
        </w:tc>
        <w:tc>
          <w:tcPr>
            <w:tcW w:w="863" w:type="dxa"/>
            <w:noWrap w:val="0"/>
            <w:vAlign w:val="top"/>
          </w:tcPr>
          <w:p w14:paraId="4D565F36">
            <w:pPr>
              <w:spacing w:line="400" w:lineRule="exact"/>
              <w:jc w:val="center"/>
              <w:rPr>
                <w:rFonts w:ascii="仿宋" w:hAnsi="仿宋" w:eastAsia="仿宋" w:cs="仿宋"/>
                <w:sz w:val="24"/>
                <w:szCs w:val="24"/>
                <w:highlight w:val="none"/>
              </w:rPr>
            </w:pPr>
          </w:p>
        </w:tc>
        <w:tc>
          <w:tcPr>
            <w:tcW w:w="1025" w:type="dxa"/>
            <w:noWrap w:val="0"/>
            <w:vAlign w:val="top"/>
          </w:tcPr>
          <w:p w14:paraId="52548BF1">
            <w:pPr>
              <w:spacing w:line="400" w:lineRule="exact"/>
              <w:jc w:val="center"/>
              <w:rPr>
                <w:rFonts w:ascii="仿宋" w:hAnsi="仿宋" w:eastAsia="仿宋" w:cs="仿宋"/>
                <w:sz w:val="24"/>
                <w:szCs w:val="24"/>
                <w:highlight w:val="none"/>
              </w:rPr>
            </w:pPr>
          </w:p>
        </w:tc>
        <w:tc>
          <w:tcPr>
            <w:tcW w:w="950" w:type="dxa"/>
            <w:noWrap w:val="0"/>
            <w:vAlign w:val="top"/>
          </w:tcPr>
          <w:p w14:paraId="57FF2E13">
            <w:pPr>
              <w:spacing w:line="400" w:lineRule="exact"/>
              <w:jc w:val="center"/>
              <w:rPr>
                <w:rFonts w:ascii="仿宋" w:hAnsi="仿宋" w:eastAsia="仿宋" w:cs="仿宋"/>
                <w:sz w:val="24"/>
                <w:szCs w:val="24"/>
                <w:highlight w:val="none"/>
              </w:rPr>
            </w:pPr>
          </w:p>
        </w:tc>
        <w:tc>
          <w:tcPr>
            <w:tcW w:w="712" w:type="dxa"/>
            <w:noWrap w:val="0"/>
            <w:vAlign w:val="top"/>
          </w:tcPr>
          <w:p w14:paraId="58A71F43">
            <w:pPr>
              <w:spacing w:line="400" w:lineRule="exact"/>
              <w:jc w:val="center"/>
              <w:rPr>
                <w:rFonts w:ascii="仿宋" w:hAnsi="仿宋" w:eastAsia="仿宋" w:cs="仿宋"/>
                <w:sz w:val="24"/>
                <w:szCs w:val="24"/>
                <w:highlight w:val="none"/>
              </w:rPr>
            </w:pPr>
          </w:p>
        </w:tc>
        <w:tc>
          <w:tcPr>
            <w:tcW w:w="850" w:type="dxa"/>
            <w:noWrap w:val="0"/>
            <w:vAlign w:val="top"/>
          </w:tcPr>
          <w:p w14:paraId="1D6FA618">
            <w:pPr>
              <w:spacing w:line="400" w:lineRule="exact"/>
              <w:jc w:val="center"/>
              <w:rPr>
                <w:rFonts w:ascii="仿宋" w:hAnsi="仿宋" w:eastAsia="仿宋" w:cs="仿宋"/>
                <w:sz w:val="24"/>
                <w:szCs w:val="24"/>
                <w:highlight w:val="none"/>
              </w:rPr>
            </w:pPr>
          </w:p>
        </w:tc>
        <w:tc>
          <w:tcPr>
            <w:tcW w:w="725" w:type="dxa"/>
            <w:noWrap w:val="0"/>
            <w:vAlign w:val="top"/>
          </w:tcPr>
          <w:p w14:paraId="39142F2D">
            <w:pPr>
              <w:spacing w:line="400" w:lineRule="exact"/>
              <w:jc w:val="center"/>
              <w:rPr>
                <w:rFonts w:ascii="仿宋" w:hAnsi="仿宋" w:eastAsia="仿宋" w:cs="仿宋"/>
                <w:sz w:val="24"/>
                <w:szCs w:val="24"/>
                <w:highlight w:val="none"/>
              </w:rPr>
            </w:pPr>
          </w:p>
        </w:tc>
        <w:tc>
          <w:tcPr>
            <w:tcW w:w="1175" w:type="dxa"/>
            <w:noWrap w:val="0"/>
            <w:vAlign w:val="top"/>
          </w:tcPr>
          <w:p w14:paraId="38505969">
            <w:pPr>
              <w:spacing w:line="400" w:lineRule="exact"/>
              <w:jc w:val="center"/>
              <w:rPr>
                <w:rFonts w:ascii="仿宋" w:hAnsi="仿宋" w:eastAsia="仿宋" w:cs="仿宋"/>
                <w:sz w:val="24"/>
                <w:szCs w:val="24"/>
                <w:highlight w:val="none"/>
              </w:rPr>
            </w:pPr>
          </w:p>
        </w:tc>
      </w:tr>
      <w:tr w14:paraId="7AABD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149" w:type="dxa"/>
            <w:vMerge w:val="restart"/>
            <w:noWrap w:val="0"/>
            <w:vAlign w:val="center"/>
          </w:tcPr>
          <w:p w14:paraId="4EE92D15">
            <w:pPr>
              <w:spacing w:line="4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项目</w:t>
            </w:r>
          </w:p>
          <w:p w14:paraId="34684684">
            <w:pPr>
              <w:spacing w:line="4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人员</w:t>
            </w:r>
          </w:p>
        </w:tc>
        <w:tc>
          <w:tcPr>
            <w:tcW w:w="812" w:type="dxa"/>
            <w:noWrap w:val="0"/>
            <w:vAlign w:val="top"/>
          </w:tcPr>
          <w:p w14:paraId="397C0E2D">
            <w:pPr>
              <w:spacing w:line="400" w:lineRule="exact"/>
              <w:jc w:val="center"/>
              <w:rPr>
                <w:rFonts w:ascii="仿宋" w:hAnsi="仿宋" w:eastAsia="仿宋" w:cs="仿宋"/>
                <w:sz w:val="24"/>
                <w:szCs w:val="24"/>
                <w:highlight w:val="none"/>
              </w:rPr>
            </w:pPr>
          </w:p>
        </w:tc>
        <w:tc>
          <w:tcPr>
            <w:tcW w:w="750" w:type="dxa"/>
            <w:noWrap w:val="0"/>
            <w:vAlign w:val="top"/>
          </w:tcPr>
          <w:p w14:paraId="105EDD95">
            <w:pPr>
              <w:spacing w:line="400" w:lineRule="exact"/>
              <w:jc w:val="center"/>
              <w:rPr>
                <w:rFonts w:ascii="仿宋" w:hAnsi="仿宋" w:eastAsia="仿宋" w:cs="仿宋"/>
                <w:sz w:val="24"/>
                <w:szCs w:val="24"/>
                <w:highlight w:val="none"/>
              </w:rPr>
            </w:pPr>
          </w:p>
        </w:tc>
        <w:tc>
          <w:tcPr>
            <w:tcW w:w="863" w:type="dxa"/>
            <w:noWrap w:val="0"/>
            <w:vAlign w:val="top"/>
          </w:tcPr>
          <w:p w14:paraId="3173973D">
            <w:pPr>
              <w:spacing w:line="400" w:lineRule="exact"/>
              <w:jc w:val="center"/>
              <w:rPr>
                <w:rFonts w:ascii="仿宋" w:hAnsi="仿宋" w:eastAsia="仿宋" w:cs="仿宋"/>
                <w:sz w:val="24"/>
                <w:szCs w:val="24"/>
                <w:highlight w:val="none"/>
              </w:rPr>
            </w:pPr>
          </w:p>
        </w:tc>
        <w:tc>
          <w:tcPr>
            <w:tcW w:w="1025" w:type="dxa"/>
            <w:noWrap w:val="0"/>
            <w:vAlign w:val="top"/>
          </w:tcPr>
          <w:p w14:paraId="7C881116">
            <w:pPr>
              <w:spacing w:line="400" w:lineRule="exact"/>
              <w:jc w:val="center"/>
              <w:rPr>
                <w:rFonts w:ascii="仿宋" w:hAnsi="仿宋" w:eastAsia="仿宋" w:cs="仿宋"/>
                <w:sz w:val="24"/>
                <w:szCs w:val="24"/>
                <w:highlight w:val="none"/>
              </w:rPr>
            </w:pPr>
          </w:p>
        </w:tc>
        <w:tc>
          <w:tcPr>
            <w:tcW w:w="950" w:type="dxa"/>
            <w:noWrap w:val="0"/>
            <w:vAlign w:val="top"/>
          </w:tcPr>
          <w:p w14:paraId="5BC99CE2">
            <w:pPr>
              <w:spacing w:line="400" w:lineRule="exact"/>
              <w:jc w:val="center"/>
              <w:rPr>
                <w:rFonts w:ascii="仿宋" w:hAnsi="仿宋" w:eastAsia="仿宋" w:cs="仿宋"/>
                <w:sz w:val="24"/>
                <w:szCs w:val="24"/>
                <w:highlight w:val="none"/>
              </w:rPr>
            </w:pPr>
          </w:p>
        </w:tc>
        <w:tc>
          <w:tcPr>
            <w:tcW w:w="712" w:type="dxa"/>
            <w:noWrap w:val="0"/>
            <w:vAlign w:val="top"/>
          </w:tcPr>
          <w:p w14:paraId="1DAA2E33">
            <w:pPr>
              <w:spacing w:line="400" w:lineRule="exact"/>
              <w:jc w:val="center"/>
              <w:rPr>
                <w:rFonts w:ascii="仿宋" w:hAnsi="仿宋" w:eastAsia="仿宋" w:cs="仿宋"/>
                <w:sz w:val="24"/>
                <w:szCs w:val="24"/>
                <w:highlight w:val="none"/>
              </w:rPr>
            </w:pPr>
          </w:p>
        </w:tc>
        <w:tc>
          <w:tcPr>
            <w:tcW w:w="850" w:type="dxa"/>
            <w:noWrap w:val="0"/>
            <w:vAlign w:val="top"/>
          </w:tcPr>
          <w:p w14:paraId="4363C392">
            <w:pPr>
              <w:spacing w:line="400" w:lineRule="exact"/>
              <w:jc w:val="center"/>
              <w:rPr>
                <w:rFonts w:ascii="仿宋" w:hAnsi="仿宋" w:eastAsia="仿宋" w:cs="仿宋"/>
                <w:sz w:val="24"/>
                <w:szCs w:val="24"/>
                <w:highlight w:val="none"/>
              </w:rPr>
            </w:pPr>
          </w:p>
        </w:tc>
        <w:tc>
          <w:tcPr>
            <w:tcW w:w="725" w:type="dxa"/>
            <w:noWrap w:val="0"/>
            <w:vAlign w:val="top"/>
          </w:tcPr>
          <w:p w14:paraId="1B376A15">
            <w:pPr>
              <w:spacing w:line="400" w:lineRule="exact"/>
              <w:jc w:val="center"/>
              <w:rPr>
                <w:rFonts w:ascii="仿宋" w:hAnsi="仿宋" w:eastAsia="仿宋" w:cs="仿宋"/>
                <w:sz w:val="24"/>
                <w:szCs w:val="24"/>
                <w:highlight w:val="none"/>
              </w:rPr>
            </w:pPr>
          </w:p>
        </w:tc>
        <w:tc>
          <w:tcPr>
            <w:tcW w:w="1175" w:type="dxa"/>
            <w:noWrap w:val="0"/>
            <w:vAlign w:val="top"/>
          </w:tcPr>
          <w:p w14:paraId="232DAE6A">
            <w:pPr>
              <w:spacing w:line="400" w:lineRule="exact"/>
              <w:jc w:val="center"/>
              <w:rPr>
                <w:rFonts w:ascii="仿宋" w:hAnsi="仿宋" w:eastAsia="仿宋" w:cs="仿宋"/>
                <w:sz w:val="24"/>
                <w:szCs w:val="24"/>
                <w:highlight w:val="none"/>
              </w:rPr>
            </w:pPr>
          </w:p>
        </w:tc>
      </w:tr>
      <w:tr w14:paraId="63608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149" w:type="dxa"/>
            <w:vMerge w:val="continue"/>
            <w:noWrap w:val="0"/>
            <w:vAlign w:val="top"/>
          </w:tcPr>
          <w:p w14:paraId="1BA11891">
            <w:pPr>
              <w:rPr>
                <w:rFonts w:ascii="仿宋" w:hAnsi="仿宋" w:eastAsia="仿宋" w:cs="仿宋"/>
                <w:sz w:val="24"/>
                <w:szCs w:val="24"/>
                <w:highlight w:val="none"/>
              </w:rPr>
            </w:pPr>
          </w:p>
        </w:tc>
        <w:tc>
          <w:tcPr>
            <w:tcW w:w="812" w:type="dxa"/>
            <w:noWrap w:val="0"/>
            <w:vAlign w:val="top"/>
          </w:tcPr>
          <w:p w14:paraId="28005E7B">
            <w:pPr>
              <w:spacing w:line="400" w:lineRule="exact"/>
              <w:jc w:val="center"/>
              <w:rPr>
                <w:rFonts w:ascii="仿宋" w:hAnsi="仿宋" w:eastAsia="仿宋" w:cs="仿宋"/>
                <w:sz w:val="24"/>
                <w:szCs w:val="24"/>
                <w:highlight w:val="none"/>
              </w:rPr>
            </w:pPr>
          </w:p>
        </w:tc>
        <w:tc>
          <w:tcPr>
            <w:tcW w:w="750" w:type="dxa"/>
            <w:noWrap w:val="0"/>
            <w:vAlign w:val="top"/>
          </w:tcPr>
          <w:p w14:paraId="5578F920">
            <w:pPr>
              <w:spacing w:line="400" w:lineRule="exact"/>
              <w:jc w:val="center"/>
              <w:rPr>
                <w:rFonts w:ascii="仿宋" w:hAnsi="仿宋" w:eastAsia="仿宋" w:cs="仿宋"/>
                <w:b/>
                <w:bCs/>
                <w:sz w:val="24"/>
                <w:szCs w:val="24"/>
                <w:highlight w:val="none"/>
              </w:rPr>
            </w:pPr>
          </w:p>
        </w:tc>
        <w:tc>
          <w:tcPr>
            <w:tcW w:w="863" w:type="dxa"/>
            <w:noWrap w:val="0"/>
            <w:vAlign w:val="top"/>
          </w:tcPr>
          <w:p w14:paraId="5296E20B">
            <w:pPr>
              <w:spacing w:line="400" w:lineRule="exact"/>
              <w:jc w:val="center"/>
              <w:rPr>
                <w:rFonts w:ascii="仿宋" w:hAnsi="仿宋" w:eastAsia="仿宋" w:cs="仿宋"/>
                <w:b/>
                <w:bCs/>
                <w:sz w:val="24"/>
                <w:szCs w:val="24"/>
                <w:highlight w:val="none"/>
              </w:rPr>
            </w:pPr>
          </w:p>
        </w:tc>
        <w:tc>
          <w:tcPr>
            <w:tcW w:w="1025" w:type="dxa"/>
            <w:noWrap w:val="0"/>
            <w:vAlign w:val="top"/>
          </w:tcPr>
          <w:p w14:paraId="0924ED40">
            <w:pPr>
              <w:spacing w:line="400" w:lineRule="exact"/>
              <w:jc w:val="center"/>
              <w:rPr>
                <w:rFonts w:ascii="仿宋" w:hAnsi="仿宋" w:eastAsia="仿宋" w:cs="仿宋"/>
                <w:b/>
                <w:bCs/>
                <w:sz w:val="24"/>
                <w:szCs w:val="24"/>
                <w:highlight w:val="none"/>
              </w:rPr>
            </w:pPr>
          </w:p>
        </w:tc>
        <w:tc>
          <w:tcPr>
            <w:tcW w:w="950" w:type="dxa"/>
            <w:noWrap w:val="0"/>
            <w:vAlign w:val="top"/>
          </w:tcPr>
          <w:p w14:paraId="54EF4A59">
            <w:pPr>
              <w:spacing w:line="400" w:lineRule="exact"/>
              <w:jc w:val="center"/>
              <w:rPr>
                <w:rFonts w:ascii="仿宋" w:hAnsi="仿宋" w:eastAsia="仿宋" w:cs="仿宋"/>
                <w:b/>
                <w:bCs/>
                <w:sz w:val="24"/>
                <w:szCs w:val="24"/>
                <w:highlight w:val="none"/>
              </w:rPr>
            </w:pPr>
          </w:p>
        </w:tc>
        <w:tc>
          <w:tcPr>
            <w:tcW w:w="712" w:type="dxa"/>
            <w:noWrap w:val="0"/>
            <w:vAlign w:val="top"/>
          </w:tcPr>
          <w:p w14:paraId="01DD475C">
            <w:pPr>
              <w:spacing w:line="400" w:lineRule="exact"/>
              <w:jc w:val="center"/>
              <w:rPr>
                <w:rFonts w:ascii="仿宋" w:hAnsi="仿宋" w:eastAsia="仿宋" w:cs="仿宋"/>
                <w:b/>
                <w:bCs/>
                <w:sz w:val="24"/>
                <w:szCs w:val="24"/>
                <w:highlight w:val="none"/>
              </w:rPr>
            </w:pPr>
          </w:p>
        </w:tc>
        <w:tc>
          <w:tcPr>
            <w:tcW w:w="850" w:type="dxa"/>
            <w:noWrap w:val="0"/>
            <w:vAlign w:val="top"/>
          </w:tcPr>
          <w:p w14:paraId="7F2E04FD">
            <w:pPr>
              <w:spacing w:line="400" w:lineRule="exact"/>
              <w:jc w:val="center"/>
              <w:rPr>
                <w:rFonts w:ascii="仿宋" w:hAnsi="仿宋" w:eastAsia="仿宋" w:cs="仿宋"/>
                <w:b/>
                <w:bCs/>
                <w:sz w:val="24"/>
                <w:szCs w:val="24"/>
                <w:highlight w:val="none"/>
              </w:rPr>
            </w:pPr>
          </w:p>
        </w:tc>
        <w:tc>
          <w:tcPr>
            <w:tcW w:w="725" w:type="dxa"/>
            <w:noWrap w:val="0"/>
            <w:vAlign w:val="top"/>
          </w:tcPr>
          <w:p w14:paraId="180FE65D">
            <w:pPr>
              <w:spacing w:line="400" w:lineRule="exact"/>
              <w:jc w:val="center"/>
              <w:rPr>
                <w:rFonts w:ascii="仿宋" w:hAnsi="仿宋" w:eastAsia="仿宋" w:cs="仿宋"/>
                <w:b/>
                <w:bCs/>
                <w:sz w:val="24"/>
                <w:szCs w:val="24"/>
                <w:highlight w:val="none"/>
              </w:rPr>
            </w:pPr>
          </w:p>
        </w:tc>
        <w:tc>
          <w:tcPr>
            <w:tcW w:w="1175" w:type="dxa"/>
            <w:noWrap w:val="0"/>
            <w:vAlign w:val="top"/>
          </w:tcPr>
          <w:p w14:paraId="22E2EE2E">
            <w:pPr>
              <w:spacing w:line="400" w:lineRule="exact"/>
              <w:jc w:val="center"/>
              <w:rPr>
                <w:rFonts w:ascii="仿宋" w:hAnsi="仿宋" w:eastAsia="仿宋" w:cs="仿宋"/>
                <w:b/>
                <w:bCs/>
                <w:sz w:val="24"/>
                <w:szCs w:val="24"/>
                <w:highlight w:val="none"/>
              </w:rPr>
            </w:pPr>
          </w:p>
        </w:tc>
      </w:tr>
      <w:tr w14:paraId="4C1B0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149" w:type="dxa"/>
            <w:vMerge w:val="continue"/>
            <w:noWrap w:val="0"/>
            <w:vAlign w:val="top"/>
          </w:tcPr>
          <w:p w14:paraId="67218441">
            <w:pPr>
              <w:rPr>
                <w:rFonts w:ascii="仿宋" w:hAnsi="仿宋" w:eastAsia="仿宋" w:cs="仿宋"/>
                <w:sz w:val="24"/>
                <w:szCs w:val="24"/>
                <w:highlight w:val="none"/>
              </w:rPr>
            </w:pPr>
          </w:p>
        </w:tc>
        <w:tc>
          <w:tcPr>
            <w:tcW w:w="812" w:type="dxa"/>
            <w:noWrap w:val="0"/>
            <w:vAlign w:val="top"/>
          </w:tcPr>
          <w:p w14:paraId="7A2B6778">
            <w:pPr>
              <w:spacing w:line="400" w:lineRule="exact"/>
              <w:jc w:val="center"/>
              <w:rPr>
                <w:rFonts w:ascii="仿宋" w:hAnsi="仿宋" w:eastAsia="仿宋" w:cs="仿宋"/>
                <w:sz w:val="24"/>
                <w:szCs w:val="24"/>
                <w:highlight w:val="none"/>
              </w:rPr>
            </w:pPr>
          </w:p>
        </w:tc>
        <w:tc>
          <w:tcPr>
            <w:tcW w:w="750" w:type="dxa"/>
            <w:noWrap w:val="0"/>
            <w:vAlign w:val="top"/>
          </w:tcPr>
          <w:p w14:paraId="3DBEE02E">
            <w:pPr>
              <w:spacing w:line="400" w:lineRule="exact"/>
              <w:jc w:val="center"/>
              <w:rPr>
                <w:rFonts w:ascii="仿宋" w:hAnsi="仿宋" w:eastAsia="仿宋" w:cs="仿宋"/>
                <w:b/>
                <w:bCs/>
                <w:sz w:val="24"/>
                <w:szCs w:val="24"/>
                <w:highlight w:val="none"/>
              </w:rPr>
            </w:pPr>
          </w:p>
        </w:tc>
        <w:tc>
          <w:tcPr>
            <w:tcW w:w="863" w:type="dxa"/>
            <w:noWrap w:val="0"/>
            <w:vAlign w:val="top"/>
          </w:tcPr>
          <w:p w14:paraId="1226DEB4">
            <w:pPr>
              <w:spacing w:line="400" w:lineRule="exact"/>
              <w:jc w:val="center"/>
              <w:rPr>
                <w:rFonts w:ascii="仿宋" w:hAnsi="仿宋" w:eastAsia="仿宋" w:cs="仿宋"/>
                <w:b/>
                <w:bCs/>
                <w:sz w:val="24"/>
                <w:szCs w:val="24"/>
                <w:highlight w:val="none"/>
              </w:rPr>
            </w:pPr>
          </w:p>
        </w:tc>
        <w:tc>
          <w:tcPr>
            <w:tcW w:w="1025" w:type="dxa"/>
            <w:noWrap w:val="0"/>
            <w:vAlign w:val="top"/>
          </w:tcPr>
          <w:p w14:paraId="0D458B2E">
            <w:pPr>
              <w:spacing w:line="400" w:lineRule="exact"/>
              <w:jc w:val="center"/>
              <w:rPr>
                <w:rFonts w:ascii="仿宋" w:hAnsi="仿宋" w:eastAsia="仿宋" w:cs="仿宋"/>
                <w:b/>
                <w:bCs/>
                <w:sz w:val="24"/>
                <w:szCs w:val="24"/>
                <w:highlight w:val="none"/>
              </w:rPr>
            </w:pPr>
          </w:p>
        </w:tc>
        <w:tc>
          <w:tcPr>
            <w:tcW w:w="950" w:type="dxa"/>
            <w:noWrap w:val="0"/>
            <w:vAlign w:val="top"/>
          </w:tcPr>
          <w:p w14:paraId="2AB62FFD">
            <w:pPr>
              <w:spacing w:line="400" w:lineRule="exact"/>
              <w:jc w:val="center"/>
              <w:rPr>
                <w:rFonts w:ascii="仿宋" w:hAnsi="仿宋" w:eastAsia="仿宋" w:cs="仿宋"/>
                <w:b/>
                <w:bCs/>
                <w:sz w:val="24"/>
                <w:szCs w:val="24"/>
                <w:highlight w:val="none"/>
              </w:rPr>
            </w:pPr>
          </w:p>
        </w:tc>
        <w:tc>
          <w:tcPr>
            <w:tcW w:w="712" w:type="dxa"/>
            <w:noWrap w:val="0"/>
            <w:vAlign w:val="top"/>
          </w:tcPr>
          <w:p w14:paraId="59527D46">
            <w:pPr>
              <w:spacing w:line="400" w:lineRule="exact"/>
              <w:jc w:val="center"/>
              <w:rPr>
                <w:rFonts w:ascii="仿宋" w:hAnsi="仿宋" w:eastAsia="仿宋" w:cs="仿宋"/>
                <w:b/>
                <w:bCs/>
                <w:sz w:val="24"/>
                <w:szCs w:val="24"/>
                <w:highlight w:val="none"/>
              </w:rPr>
            </w:pPr>
          </w:p>
        </w:tc>
        <w:tc>
          <w:tcPr>
            <w:tcW w:w="850" w:type="dxa"/>
            <w:noWrap w:val="0"/>
            <w:vAlign w:val="top"/>
          </w:tcPr>
          <w:p w14:paraId="053A181B">
            <w:pPr>
              <w:spacing w:line="400" w:lineRule="exact"/>
              <w:jc w:val="center"/>
              <w:rPr>
                <w:rFonts w:ascii="仿宋" w:hAnsi="仿宋" w:eastAsia="仿宋" w:cs="仿宋"/>
                <w:b/>
                <w:bCs/>
                <w:sz w:val="24"/>
                <w:szCs w:val="24"/>
                <w:highlight w:val="none"/>
              </w:rPr>
            </w:pPr>
          </w:p>
        </w:tc>
        <w:tc>
          <w:tcPr>
            <w:tcW w:w="725" w:type="dxa"/>
            <w:noWrap w:val="0"/>
            <w:vAlign w:val="top"/>
          </w:tcPr>
          <w:p w14:paraId="7EFA9FA0">
            <w:pPr>
              <w:spacing w:line="400" w:lineRule="exact"/>
              <w:jc w:val="center"/>
              <w:rPr>
                <w:rFonts w:ascii="仿宋" w:hAnsi="仿宋" w:eastAsia="仿宋" w:cs="仿宋"/>
                <w:b/>
                <w:bCs/>
                <w:sz w:val="24"/>
                <w:szCs w:val="24"/>
                <w:highlight w:val="none"/>
              </w:rPr>
            </w:pPr>
          </w:p>
        </w:tc>
        <w:tc>
          <w:tcPr>
            <w:tcW w:w="1175" w:type="dxa"/>
            <w:noWrap w:val="0"/>
            <w:vAlign w:val="top"/>
          </w:tcPr>
          <w:p w14:paraId="48C54CE1">
            <w:pPr>
              <w:spacing w:line="400" w:lineRule="exact"/>
              <w:jc w:val="center"/>
              <w:rPr>
                <w:rFonts w:ascii="仿宋" w:hAnsi="仿宋" w:eastAsia="仿宋" w:cs="仿宋"/>
                <w:b/>
                <w:bCs/>
                <w:sz w:val="24"/>
                <w:szCs w:val="24"/>
                <w:highlight w:val="none"/>
              </w:rPr>
            </w:pPr>
          </w:p>
        </w:tc>
      </w:tr>
    </w:tbl>
    <w:p w14:paraId="6EB6BFE1">
      <w:pPr>
        <w:widowControl/>
        <w:spacing w:line="360" w:lineRule="auto"/>
        <w:ind w:firstLine="480" w:firstLineChars="200"/>
        <w:jc w:val="left"/>
        <w:rPr>
          <w:rFonts w:ascii="仿宋" w:hAnsi="仿宋" w:eastAsia="仿宋" w:cs="仿宋"/>
          <w:sz w:val="24"/>
          <w:szCs w:val="24"/>
          <w:highlight w:val="none"/>
        </w:rPr>
      </w:pPr>
    </w:p>
    <w:p w14:paraId="05E263A0">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比选申请人名称（盖章）：</w:t>
      </w:r>
    </w:p>
    <w:p w14:paraId="4C4B86A6">
      <w:pPr>
        <w:widowControl/>
        <w:spacing w:line="360" w:lineRule="auto"/>
        <w:ind w:firstLine="360" w:firstLineChars="150"/>
        <w:jc w:val="left"/>
        <w:rPr>
          <w:rFonts w:ascii="仿宋" w:hAnsi="仿宋" w:eastAsia="仿宋" w:cs="仿宋"/>
          <w:sz w:val="24"/>
          <w:szCs w:val="24"/>
          <w:highlight w:val="none"/>
        </w:rPr>
      </w:pPr>
      <w:r>
        <w:rPr>
          <w:rFonts w:hint="eastAsia" w:ascii="仿宋" w:hAnsi="仿宋" w:eastAsia="仿宋" w:cs="仿宋"/>
          <w:sz w:val="24"/>
          <w:szCs w:val="24"/>
          <w:highlight w:val="none"/>
        </w:rPr>
        <w:t xml:space="preserve"> 法定代表人或授权代表（签字或加盖个人名章）：</w:t>
      </w:r>
    </w:p>
    <w:p w14:paraId="486D8177">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响应日期：</w:t>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年 </w:t>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月 </w:t>
      </w:r>
      <w:r>
        <w:rPr>
          <w:rFonts w:hint="eastAsia" w:ascii="仿宋" w:hAnsi="仿宋" w:eastAsia="仿宋" w:cs="仿宋"/>
          <w:sz w:val="24"/>
          <w:szCs w:val="24"/>
          <w:highlight w:val="none"/>
        </w:rPr>
        <w:tab/>
      </w:r>
      <w:r>
        <w:rPr>
          <w:rFonts w:hint="eastAsia" w:ascii="仿宋" w:hAnsi="仿宋" w:eastAsia="仿宋" w:cs="仿宋"/>
          <w:sz w:val="24"/>
          <w:szCs w:val="24"/>
          <w:highlight w:val="none"/>
        </w:rPr>
        <w:t>日</w:t>
      </w:r>
    </w:p>
    <w:p w14:paraId="39D346F2">
      <w:pPr>
        <w:widowControl/>
        <w:spacing w:line="360" w:lineRule="auto"/>
        <w:ind w:firstLine="480" w:firstLineChars="200"/>
        <w:jc w:val="left"/>
        <w:rPr>
          <w:rFonts w:ascii="仿宋" w:hAnsi="仿宋" w:eastAsia="仿宋" w:cs="仿宋"/>
          <w:sz w:val="24"/>
          <w:szCs w:val="24"/>
          <w:highlight w:val="none"/>
        </w:rPr>
      </w:pPr>
    </w:p>
    <w:p w14:paraId="4ED4D1CC">
      <w:pPr>
        <w:widowControl/>
        <w:spacing w:line="360" w:lineRule="auto"/>
        <w:ind w:firstLine="480" w:firstLineChars="200"/>
        <w:jc w:val="left"/>
        <w:rPr>
          <w:rFonts w:ascii="仿宋" w:hAnsi="仿宋" w:eastAsia="仿宋" w:cs="仿宋"/>
          <w:sz w:val="24"/>
          <w:szCs w:val="24"/>
          <w:highlight w:val="none"/>
        </w:rPr>
      </w:pPr>
    </w:p>
    <w:p w14:paraId="0B9F5A6D">
      <w:pPr>
        <w:widowControl/>
        <w:spacing w:line="360" w:lineRule="auto"/>
        <w:ind w:firstLine="422" w:firstLineChars="200"/>
        <w:jc w:val="left"/>
        <w:rPr>
          <w:rFonts w:ascii="仿宋" w:hAnsi="仿宋" w:eastAsia="仿宋" w:cs="仿宋"/>
          <w:b/>
          <w:sz w:val="21"/>
          <w:szCs w:val="21"/>
          <w:highlight w:val="none"/>
        </w:rPr>
      </w:pPr>
      <w:r>
        <w:rPr>
          <w:rFonts w:hint="eastAsia" w:ascii="仿宋" w:hAnsi="仿宋" w:eastAsia="仿宋" w:cs="仿宋"/>
          <w:b/>
          <w:sz w:val="21"/>
          <w:szCs w:val="21"/>
          <w:highlight w:val="none"/>
        </w:rPr>
        <w:t>注：比选申请人应详细填写上述两表作为履行合同所必需的设备和专业技术能力证明材料，验收时，采购人有权要求比选申请人就填写的内容提供原件核实，发现有虚假内容的，有权取消其中标资格并按相关规定处理。</w:t>
      </w:r>
    </w:p>
    <w:p w14:paraId="2278C242">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 xml:space="preserve"> </w:t>
      </w:r>
    </w:p>
    <w:p w14:paraId="496DF479">
      <w:pPr>
        <w:widowControl/>
        <w:jc w:val="left"/>
        <w:rPr>
          <w:rFonts w:ascii="仿宋" w:hAnsi="仿宋" w:eastAsia="仿宋" w:cs="仿宋"/>
          <w:sz w:val="24"/>
          <w:szCs w:val="24"/>
          <w:highlight w:val="none"/>
        </w:rPr>
      </w:pPr>
      <w:r>
        <w:rPr>
          <w:rFonts w:hint="eastAsia" w:ascii="仿宋" w:hAnsi="仿宋" w:eastAsia="仿宋" w:cs="仿宋"/>
          <w:sz w:val="24"/>
          <w:szCs w:val="24"/>
          <w:highlight w:val="none"/>
        </w:rPr>
        <w:br w:type="page"/>
      </w:r>
    </w:p>
    <w:p w14:paraId="74B8AE76">
      <w:pPr>
        <w:pStyle w:val="3"/>
        <w:ind w:firstLine="643"/>
        <w:jc w:val="center"/>
        <w:rPr>
          <w:rFonts w:ascii="仿宋" w:hAnsi="仿宋" w:eastAsia="仿宋" w:cs="仿宋"/>
          <w:bCs/>
          <w:sz w:val="32"/>
          <w:szCs w:val="32"/>
          <w:highlight w:val="none"/>
        </w:rPr>
      </w:pPr>
      <w:r>
        <w:rPr>
          <w:rFonts w:hint="eastAsia" w:ascii="仿宋" w:hAnsi="仿宋" w:eastAsia="仿宋" w:cs="仿宋"/>
          <w:bCs/>
          <w:sz w:val="32"/>
          <w:szCs w:val="32"/>
          <w:highlight w:val="none"/>
        </w:rPr>
        <w:t xml:space="preserve">十一、项目实施方案 </w:t>
      </w:r>
    </w:p>
    <w:p w14:paraId="1B0DB405">
      <w:pPr>
        <w:rPr>
          <w:rFonts w:ascii="仿宋" w:hAnsi="仿宋" w:eastAsia="仿宋" w:cs="仿宋"/>
          <w:highlight w:val="none"/>
        </w:rPr>
      </w:pPr>
    </w:p>
    <w:p w14:paraId="4B0FD250">
      <w:pPr>
        <w:spacing w:line="360" w:lineRule="auto"/>
        <w:jc w:val="center"/>
        <w:rPr>
          <w:rFonts w:ascii="仿宋" w:hAnsi="仿宋" w:eastAsia="仿宋" w:cs="仿宋"/>
          <w:szCs w:val="28"/>
          <w:highlight w:val="none"/>
        </w:rPr>
      </w:pPr>
      <w:r>
        <w:rPr>
          <w:rFonts w:hint="eastAsia" w:ascii="仿宋" w:hAnsi="仿宋" w:eastAsia="仿宋" w:cs="仿宋"/>
          <w:szCs w:val="28"/>
          <w:highlight w:val="none"/>
        </w:rPr>
        <w:t>格式自拟</w:t>
      </w:r>
    </w:p>
    <w:p w14:paraId="5BD31921">
      <w:pPr>
        <w:rPr>
          <w:rFonts w:ascii="仿宋" w:hAnsi="仿宋" w:eastAsia="仿宋" w:cs="仿宋"/>
          <w:highlight w:val="none"/>
        </w:rPr>
      </w:pPr>
    </w:p>
    <w:p w14:paraId="66A07F0D">
      <w:pPr>
        <w:spacing w:line="360" w:lineRule="auto"/>
        <w:rPr>
          <w:rFonts w:ascii="仿宋" w:hAnsi="仿宋" w:eastAsia="仿宋" w:cs="仿宋"/>
          <w:sz w:val="24"/>
          <w:highlight w:val="none"/>
        </w:rPr>
      </w:pPr>
    </w:p>
    <w:p w14:paraId="4C5E9F8D">
      <w:pPr>
        <w:pStyle w:val="22"/>
        <w:spacing w:line="360" w:lineRule="auto"/>
        <w:rPr>
          <w:rFonts w:ascii="仿宋" w:hAnsi="仿宋" w:eastAsia="仿宋" w:cs="仿宋"/>
          <w:sz w:val="24"/>
          <w:highlight w:val="none"/>
        </w:rPr>
      </w:pPr>
    </w:p>
    <w:p w14:paraId="454D53CD">
      <w:pPr>
        <w:pStyle w:val="22"/>
        <w:spacing w:line="360" w:lineRule="auto"/>
        <w:rPr>
          <w:rFonts w:ascii="仿宋" w:hAnsi="仿宋" w:eastAsia="仿宋" w:cs="仿宋"/>
          <w:sz w:val="24"/>
          <w:highlight w:val="none"/>
        </w:rPr>
      </w:pPr>
    </w:p>
    <w:p w14:paraId="742256D4">
      <w:pPr>
        <w:pStyle w:val="22"/>
        <w:spacing w:line="360" w:lineRule="auto"/>
        <w:rPr>
          <w:rFonts w:ascii="仿宋" w:hAnsi="仿宋" w:eastAsia="仿宋" w:cs="仿宋"/>
          <w:sz w:val="24"/>
          <w:highlight w:val="none"/>
        </w:rPr>
      </w:pPr>
    </w:p>
    <w:p w14:paraId="5E309C07">
      <w:pPr>
        <w:pStyle w:val="22"/>
        <w:spacing w:line="360" w:lineRule="auto"/>
        <w:rPr>
          <w:rFonts w:ascii="仿宋" w:hAnsi="仿宋" w:eastAsia="仿宋" w:cs="仿宋"/>
          <w:sz w:val="24"/>
          <w:highlight w:val="none"/>
        </w:rPr>
      </w:pPr>
    </w:p>
    <w:p w14:paraId="4F659E34">
      <w:pPr>
        <w:pStyle w:val="22"/>
        <w:spacing w:line="360" w:lineRule="auto"/>
        <w:rPr>
          <w:rFonts w:ascii="仿宋" w:hAnsi="仿宋" w:eastAsia="仿宋" w:cs="仿宋"/>
          <w:sz w:val="24"/>
          <w:highlight w:val="none"/>
        </w:rPr>
      </w:pPr>
    </w:p>
    <w:p w14:paraId="3BB98C1D">
      <w:pPr>
        <w:pStyle w:val="22"/>
        <w:spacing w:line="360" w:lineRule="auto"/>
        <w:rPr>
          <w:rFonts w:ascii="仿宋" w:hAnsi="仿宋" w:eastAsia="仿宋" w:cs="仿宋"/>
          <w:sz w:val="24"/>
          <w:highlight w:val="none"/>
        </w:rPr>
      </w:pPr>
    </w:p>
    <w:p w14:paraId="6C5F4A47">
      <w:pPr>
        <w:pStyle w:val="22"/>
        <w:spacing w:line="360" w:lineRule="auto"/>
        <w:rPr>
          <w:rFonts w:ascii="仿宋" w:hAnsi="仿宋" w:eastAsia="仿宋" w:cs="仿宋"/>
          <w:sz w:val="24"/>
          <w:highlight w:val="none"/>
        </w:rPr>
      </w:pPr>
    </w:p>
    <w:p w14:paraId="7B94B817">
      <w:pPr>
        <w:pStyle w:val="22"/>
        <w:spacing w:line="360" w:lineRule="auto"/>
        <w:rPr>
          <w:rFonts w:ascii="仿宋" w:hAnsi="仿宋" w:eastAsia="仿宋" w:cs="仿宋"/>
          <w:sz w:val="24"/>
          <w:highlight w:val="none"/>
        </w:rPr>
      </w:pPr>
    </w:p>
    <w:p w14:paraId="60B0918D">
      <w:pPr>
        <w:pStyle w:val="22"/>
        <w:spacing w:line="360" w:lineRule="auto"/>
        <w:rPr>
          <w:rFonts w:ascii="仿宋" w:hAnsi="仿宋" w:eastAsia="仿宋" w:cs="仿宋"/>
          <w:sz w:val="24"/>
          <w:highlight w:val="none"/>
        </w:rPr>
      </w:pPr>
    </w:p>
    <w:p w14:paraId="416CCC5D">
      <w:pPr>
        <w:pStyle w:val="22"/>
        <w:spacing w:line="360" w:lineRule="auto"/>
        <w:rPr>
          <w:rFonts w:ascii="仿宋" w:hAnsi="仿宋" w:eastAsia="仿宋" w:cs="仿宋"/>
          <w:sz w:val="24"/>
          <w:highlight w:val="none"/>
        </w:rPr>
      </w:pPr>
    </w:p>
    <w:p w14:paraId="238E2709">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比选申请人名称（盖章）：</w:t>
      </w:r>
    </w:p>
    <w:p w14:paraId="7A1AB50D">
      <w:pPr>
        <w:widowControl/>
        <w:spacing w:line="360" w:lineRule="auto"/>
        <w:ind w:firstLine="360" w:firstLineChars="150"/>
        <w:jc w:val="left"/>
        <w:rPr>
          <w:rFonts w:ascii="仿宋" w:hAnsi="仿宋" w:eastAsia="仿宋" w:cs="仿宋"/>
          <w:sz w:val="24"/>
          <w:szCs w:val="24"/>
          <w:highlight w:val="none"/>
        </w:rPr>
      </w:pPr>
      <w:r>
        <w:rPr>
          <w:rFonts w:hint="eastAsia" w:ascii="仿宋" w:hAnsi="仿宋" w:eastAsia="仿宋" w:cs="仿宋"/>
          <w:sz w:val="24"/>
          <w:szCs w:val="24"/>
          <w:highlight w:val="none"/>
        </w:rPr>
        <w:t xml:space="preserve"> 法定代表人或授权代表（签字或加盖个人名章）：</w:t>
      </w:r>
    </w:p>
    <w:p w14:paraId="1C707349">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响应日期：</w:t>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年 </w:t>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月 </w:t>
      </w:r>
      <w:r>
        <w:rPr>
          <w:rFonts w:hint="eastAsia" w:ascii="仿宋" w:hAnsi="仿宋" w:eastAsia="仿宋" w:cs="仿宋"/>
          <w:sz w:val="24"/>
          <w:szCs w:val="24"/>
          <w:highlight w:val="none"/>
        </w:rPr>
        <w:tab/>
      </w:r>
      <w:r>
        <w:rPr>
          <w:rFonts w:hint="eastAsia" w:ascii="仿宋" w:hAnsi="仿宋" w:eastAsia="仿宋" w:cs="仿宋"/>
          <w:sz w:val="24"/>
          <w:szCs w:val="24"/>
          <w:highlight w:val="none"/>
        </w:rPr>
        <w:t>日</w:t>
      </w:r>
    </w:p>
    <w:p w14:paraId="0BE2F72A">
      <w:pPr>
        <w:pStyle w:val="22"/>
        <w:spacing w:line="360" w:lineRule="auto"/>
        <w:rPr>
          <w:rFonts w:ascii="仿宋" w:hAnsi="仿宋" w:eastAsia="仿宋" w:cs="仿宋"/>
          <w:sz w:val="24"/>
          <w:highlight w:val="none"/>
        </w:rPr>
      </w:pPr>
    </w:p>
    <w:p w14:paraId="60CBEA61">
      <w:pPr>
        <w:pStyle w:val="22"/>
        <w:spacing w:line="360" w:lineRule="auto"/>
        <w:rPr>
          <w:rFonts w:ascii="仿宋" w:hAnsi="仿宋" w:eastAsia="仿宋" w:cs="仿宋"/>
          <w:sz w:val="24"/>
          <w:highlight w:val="none"/>
        </w:rPr>
      </w:pPr>
    </w:p>
    <w:p w14:paraId="36FE10CC">
      <w:pPr>
        <w:pStyle w:val="22"/>
        <w:spacing w:line="360" w:lineRule="auto"/>
        <w:rPr>
          <w:rFonts w:ascii="仿宋" w:hAnsi="仿宋" w:eastAsia="仿宋" w:cs="仿宋"/>
          <w:sz w:val="24"/>
          <w:highlight w:val="none"/>
        </w:rPr>
      </w:pPr>
    </w:p>
    <w:p w14:paraId="7FD5F874">
      <w:pPr>
        <w:spacing w:line="360" w:lineRule="auto"/>
        <w:rPr>
          <w:rFonts w:ascii="仿宋" w:hAnsi="仿宋" w:eastAsia="仿宋" w:cs="仿宋"/>
          <w:sz w:val="36"/>
          <w:szCs w:val="36"/>
          <w:highlight w:val="none"/>
        </w:rPr>
      </w:pPr>
    </w:p>
    <w:p w14:paraId="077EDF3B">
      <w:pPr>
        <w:pStyle w:val="3"/>
        <w:ind w:firstLine="562"/>
        <w:jc w:val="center"/>
        <w:rPr>
          <w:rFonts w:ascii="仿宋" w:hAnsi="仿宋" w:eastAsia="仿宋" w:cs="仿宋"/>
          <w:bCs/>
          <w:sz w:val="32"/>
          <w:szCs w:val="32"/>
          <w:highlight w:val="none"/>
        </w:rPr>
      </w:pPr>
      <w:r>
        <w:rPr>
          <w:rFonts w:hint="eastAsia" w:ascii="仿宋" w:hAnsi="仿宋" w:eastAsia="仿宋" w:cs="仿宋"/>
          <w:highlight w:val="none"/>
        </w:rPr>
        <w:br w:type="page"/>
      </w:r>
      <w:r>
        <w:rPr>
          <w:rFonts w:hint="eastAsia" w:ascii="仿宋" w:hAnsi="仿宋" w:eastAsia="仿宋" w:cs="仿宋"/>
          <w:bCs/>
          <w:sz w:val="32"/>
          <w:szCs w:val="32"/>
          <w:highlight w:val="none"/>
        </w:rPr>
        <w:t xml:space="preserve">十二、售后服务方案及承诺 </w:t>
      </w:r>
    </w:p>
    <w:p w14:paraId="07253C79">
      <w:pPr>
        <w:spacing w:line="360" w:lineRule="auto"/>
        <w:rPr>
          <w:rFonts w:ascii="仿宋" w:hAnsi="仿宋" w:eastAsia="仿宋" w:cs="仿宋"/>
          <w:highlight w:val="none"/>
        </w:rPr>
      </w:pPr>
    </w:p>
    <w:p w14:paraId="52155526">
      <w:pPr>
        <w:spacing w:line="360" w:lineRule="auto"/>
        <w:jc w:val="center"/>
        <w:rPr>
          <w:rFonts w:ascii="仿宋" w:hAnsi="仿宋" w:eastAsia="仿宋" w:cs="仿宋"/>
          <w:szCs w:val="28"/>
          <w:highlight w:val="none"/>
        </w:rPr>
      </w:pPr>
      <w:r>
        <w:rPr>
          <w:rFonts w:hint="eastAsia" w:ascii="仿宋" w:hAnsi="仿宋" w:eastAsia="仿宋" w:cs="仿宋"/>
          <w:szCs w:val="28"/>
          <w:highlight w:val="none"/>
        </w:rPr>
        <w:t>格式自拟</w:t>
      </w:r>
    </w:p>
    <w:p w14:paraId="7F146D47">
      <w:pPr>
        <w:pStyle w:val="22"/>
        <w:rPr>
          <w:rFonts w:ascii="仿宋" w:hAnsi="仿宋" w:eastAsia="仿宋" w:cs="仿宋"/>
          <w:highlight w:val="none"/>
        </w:rPr>
      </w:pPr>
    </w:p>
    <w:p w14:paraId="23371A74">
      <w:pPr>
        <w:pStyle w:val="22"/>
        <w:rPr>
          <w:rFonts w:ascii="仿宋" w:hAnsi="仿宋" w:eastAsia="仿宋" w:cs="仿宋"/>
          <w:highlight w:val="none"/>
        </w:rPr>
      </w:pPr>
    </w:p>
    <w:p w14:paraId="372C9665">
      <w:pPr>
        <w:pStyle w:val="22"/>
        <w:rPr>
          <w:rFonts w:ascii="仿宋" w:hAnsi="仿宋" w:eastAsia="仿宋" w:cs="仿宋"/>
          <w:highlight w:val="none"/>
        </w:rPr>
      </w:pPr>
    </w:p>
    <w:p w14:paraId="141CCA27">
      <w:pPr>
        <w:pStyle w:val="22"/>
        <w:rPr>
          <w:rFonts w:ascii="仿宋" w:hAnsi="仿宋" w:eastAsia="仿宋" w:cs="仿宋"/>
          <w:highlight w:val="none"/>
        </w:rPr>
      </w:pPr>
    </w:p>
    <w:p w14:paraId="70F8B68D">
      <w:pPr>
        <w:pStyle w:val="22"/>
        <w:rPr>
          <w:rFonts w:ascii="仿宋" w:hAnsi="仿宋" w:eastAsia="仿宋" w:cs="仿宋"/>
          <w:highlight w:val="none"/>
        </w:rPr>
      </w:pPr>
    </w:p>
    <w:p w14:paraId="29D65E91">
      <w:pPr>
        <w:pStyle w:val="22"/>
        <w:rPr>
          <w:rFonts w:ascii="仿宋" w:hAnsi="仿宋" w:eastAsia="仿宋" w:cs="仿宋"/>
          <w:highlight w:val="none"/>
        </w:rPr>
      </w:pPr>
    </w:p>
    <w:p w14:paraId="7A64B12E">
      <w:pPr>
        <w:pStyle w:val="22"/>
        <w:rPr>
          <w:rFonts w:ascii="仿宋" w:hAnsi="仿宋" w:eastAsia="仿宋" w:cs="仿宋"/>
          <w:highlight w:val="none"/>
        </w:rPr>
      </w:pPr>
    </w:p>
    <w:p w14:paraId="3B1B0618">
      <w:pPr>
        <w:pStyle w:val="22"/>
        <w:rPr>
          <w:rFonts w:ascii="仿宋" w:hAnsi="仿宋" w:eastAsia="仿宋" w:cs="仿宋"/>
          <w:highlight w:val="none"/>
        </w:rPr>
      </w:pPr>
    </w:p>
    <w:p w14:paraId="470625C1">
      <w:pPr>
        <w:pStyle w:val="22"/>
        <w:rPr>
          <w:rFonts w:ascii="仿宋" w:hAnsi="仿宋" w:eastAsia="仿宋" w:cs="仿宋"/>
          <w:highlight w:val="none"/>
        </w:rPr>
      </w:pPr>
    </w:p>
    <w:p w14:paraId="11E20057">
      <w:pPr>
        <w:pStyle w:val="22"/>
        <w:rPr>
          <w:rFonts w:ascii="仿宋" w:hAnsi="仿宋" w:eastAsia="仿宋" w:cs="仿宋"/>
          <w:highlight w:val="none"/>
        </w:rPr>
      </w:pPr>
    </w:p>
    <w:p w14:paraId="7BF6D320">
      <w:pPr>
        <w:pStyle w:val="22"/>
        <w:rPr>
          <w:rFonts w:ascii="仿宋" w:hAnsi="仿宋" w:eastAsia="仿宋" w:cs="仿宋"/>
          <w:highlight w:val="none"/>
        </w:rPr>
      </w:pPr>
    </w:p>
    <w:p w14:paraId="265E1F32">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比选申请人名称（盖章）：</w:t>
      </w:r>
    </w:p>
    <w:p w14:paraId="3C795EF6">
      <w:pPr>
        <w:widowControl/>
        <w:spacing w:line="360" w:lineRule="auto"/>
        <w:ind w:firstLine="360" w:firstLineChars="150"/>
        <w:jc w:val="left"/>
        <w:rPr>
          <w:rFonts w:ascii="仿宋" w:hAnsi="仿宋" w:eastAsia="仿宋" w:cs="仿宋"/>
          <w:sz w:val="24"/>
          <w:szCs w:val="24"/>
          <w:highlight w:val="none"/>
        </w:rPr>
      </w:pPr>
      <w:r>
        <w:rPr>
          <w:rFonts w:hint="eastAsia" w:ascii="仿宋" w:hAnsi="仿宋" w:eastAsia="仿宋" w:cs="仿宋"/>
          <w:sz w:val="24"/>
          <w:szCs w:val="24"/>
          <w:highlight w:val="none"/>
        </w:rPr>
        <w:t xml:space="preserve"> 法定代表人或授权代表（签字或加盖个人名章）：</w:t>
      </w:r>
    </w:p>
    <w:p w14:paraId="73664FF7">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响应日期：</w:t>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年 </w:t>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月 </w:t>
      </w:r>
      <w:r>
        <w:rPr>
          <w:rFonts w:hint="eastAsia" w:ascii="仿宋" w:hAnsi="仿宋" w:eastAsia="仿宋" w:cs="仿宋"/>
          <w:sz w:val="24"/>
          <w:szCs w:val="24"/>
          <w:highlight w:val="none"/>
        </w:rPr>
        <w:tab/>
      </w:r>
      <w:r>
        <w:rPr>
          <w:rFonts w:hint="eastAsia" w:ascii="仿宋" w:hAnsi="仿宋" w:eastAsia="仿宋" w:cs="仿宋"/>
          <w:sz w:val="24"/>
          <w:szCs w:val="24"/>
          <w:highlight w:val="none"/>
        </w:rPr>
        <w:t>日</w:t>
      </w:r>
    </w:p>
    <w:p w14:paraId="42B6F99E">
      <w:pPr>
        <w:widowControl/>
        <w:jc w:val="left"/>
        <w:rPr>
          <w:rFonts w:ascii="仿宋" w:hAnsi="仿宋" w:eastAsia="仿宋" w:cs="仿宋"/>
          <w:highlight w:val="none"/>
        </w:rPr>
      </w:pPr>
      <w:r>
        <w:rPr>
          <w:rFonts w:hint="eastAsia" w:ascii="仿宋" w:hAnsi="仿宋" w:eastAsia="仿宋" w:cs="仿宋"/>
          <w:sz w:val="24"/>
          <w:szCs w:val="24"/>
          <w:highlight w:val="none"/>
        </w:rPr>
        <w:br w:type="page"/>
      </w:r>
    </w:p>
    <w:p w14:paraId="5713AC34">
      <w:pPr>
        <w:pStyle w:val="2"/>
        <w:pageBreakBefore/>
        <w:numPr>
          <w:ilvl w:val="0"/>
          <w:numId w:val="18"/>
        </w:numPr>
        <w:spacing w:before="240" w:after="120" w:line="500" w:lineRule="exact"/>
        <w:rPr>
          <w:rFonts w:ascii="仿宋" w:hAnsi="仿宋" w:eastAsia="仿宋" w:cs="仿宋"/>
          <w:b/>
          <w:highlight w:val="none"/>
        </w:rPr>
      </w:pPr>
      <w:bookmarkStart w:id="68" w:name="_Toc453767397"/>
      <w:r>
        <w:rPr>
          <w:rFonts w:hint="eastAsia" w:ascii="仿宋" w:hAnsi="仿宋" w:eastAsia="仿宋" w:cs="仿宋"/>
          <w:b/>
          <w:highlight w:val="none"/>
        </w:rPr>
        <w:t xml:space="preserve"> </w:t>
      </w:r>
      <w:bookmarkStart w:id="69" w:name="_Toc2447"/>
      <w:r>
        <w:rPr>
          <w:rFonts w:hint="eastAsia" w:ascii="仿宋" w:hAnsi="仿宋" w:eastAsia="仿宋" w:cs="仿宋"/>
          <w:b/>
          <w:highlight w:val="none"/>
        </w:rPr>
        <w:t>比选申请人应当提供的资格条件证明材料</w:t>
      </w:r>
      <w:bookmarkEnd w:id="69"/>
    </w:p>
    <w:p w14:paraId="3FC19374">
      <w:pPr>
        <w:widowControl/>
        <w:spacing w:line="360" w:lineRule="auto"/>
        <w:ind w:firstLine="480" w:firstLineChars="200"/>
        <w:jc w:val="left"/>
        <w:rPr>
          <w:rFonts w:ascii="仿宋" w:hAnsi="仿宋" w:eastAsia="仿宋" w:cs="仿宋"/>
          <w:sz w:val="24"/>
          <w:szCs w:val="24"/>
          <w:highlight w:val="none"/>
        </w:rPr>
      </w:pPr>
    </w:p>
    <w:p w14:paraId="600F7C5C">
      <w:pPr>
        <w:spacing w:line="360" w:lineRule="auto"/>
        <w:ind w:firstLine="480"/>
        <w:jc w:val="left"/>
        <w:rPr>
          <w:rFonts w:ascii="仿宋" w:hAnsi="仿宋" w:eastAsia="仿宋" w:cs="仿宋"/>
          <w:sz w:val="24"/>
          <w:szCs w:val="24"/>
          <w:highlight w:val="none"/>
        </w:rPr>
      </w:pPr>
      <w:r>
        <w:rPr>
          <w:rFonts w:hint="eastAsia" w:ascii="仿宋" w:hAnsi="仿宋" w:eastAsia="仿宋" w:cs="仿宋"/>
          <w:sz w:val="24"/>
          <w:szCs w:val="24"/>
          <w:highlight w:val="none"/>
        </w:rPr>
        <w:t>1、法定代表人/单位负责人身份证明书原件及法定代表人/单位负责人有效身份证复印件</w:t>
      </w:r>
      <w:r>
        <w:rPr>
          <w:rFonts w:hint="eastAsia" w:ascii="仿宋" w:hAnsi="仿宋" w:eastAsia="仿宋" w:cs="仿宋"/>
          <w:b/>
          <w:sz w:val="24"/>
          <w:szCs w:val="24"/>
          <w:highlight w:val="none"/>
        </w:rPr>
        <w:t>（加盖比选申请人公章）</w:t>
      </w:r>
      <w:r>
        <w:rPr>
          <w:rFonts w:hint="eastAsia" w:ascii="仿宋" w:hAnsi="仿宋" w:eastAsia="仿宋" w:cs="仿宋"/>
          <w:sz w:val="24"/>
          <w:szCs w:val="24"/>
          <w:highlight w:val="none"/>
        </w:rPr>
        <w:t>。</w:t>
      </w:r>
    </w:p>
    <w:p w14:paraId="3BF11EEB">
      <w:pPr>
        <w:spacing w:line="360" w:lineRule="auto"/>
        <w:ind w:firstLine="480"/>
        <w:jc w:val="left"/>
        <w:rPr>
          <w:rFonts w:ascii="仿宋" w:hAnsi="仿宋" w:eastAsia="仿宋" w:cs="仿宋"/>
          <w:sz w:val="24"/>
          <w:szCs w:val="24"/>
          <w:highlight w:val="none"/>
        </w:rPr>
      </w:pPr>
      <w:r>
        <w:rPr>
          <w:rFonts w:hint="eastAsia" w:ascii="仿宋" w:hAnsi="仿宋" w:eastAsia="仿宋" w:cs="仿宋"/>
          <w:sz w:val="24"/>
          <w:szCs w:val="24"/>
          <w:highlight w:val="none"/>
        </w:rPr>
        <w:t>2、比选申请人非法定代表人/单位负责人参加本次比选，需提供法定代表人/单位负责人授权书原件与被授权人有效身份证复印件；</w:t>
      </w:r>
      <w:r>
        <w:rPr>
          <w:rFonts w:hint="eastAsia" w:ascii="仿宋" w:hAnsi="仿宋" w:eastAsia="仿宋" w:cs="仿宋"/>
          <w:b/>
          <w:sz w:val="24"/>
          <w:szCs w:val="24"/>
          <w:highlight w:val="none"/>
        </w:rPr>
        <w:t>（加盖比选申请人公章）</w:t>
      </w:r>
    </w:p>
    <w:p w14:paraId="746DE41B">
      <w:pPr>
        <w:spacing w:line="360" w:lineRule="auto"/>
        <w:ind w:firstLine="480"/>
        <w:jc w:val="left"/>
        <w:rPr>
          <w:rFonts w:ascii="仿宋" w:hAnsi="仿宋" w:eastAsia="仿宋" w:cs="仿宋"/>
          <w:sz w:val="24"/>
          <w:szCs w:val="24"/>
          <w:highlight w:val="none"/>
        </w:rPr>
      </w:pPr>
      <w:r>
        <w:rPr>
          <w:rFonts w:hint="eastAsia" w:ascii="仿宋" w:hAnsi="仿宋" w:eastAsia="仿宋" w:cs="仿宋"/>
          <w:sz w:val="24"/>
          <w:szCs w:val="24"/>
          <w:highlight w:val="none"/>
        </w:rPr>
        <w:t>3、具有独立承担民事责任的能力</w:t>
      </w:r>
      <w:r>
        <w:rPr>
          <w:rFonts w:hint="eastAsia" w:ascii="仿宋" w:hAnsi="仿宋" w:eastAsia="仿宋" w:cs="仿宋"/>
          <w:b/>
          <w:bCs/>
          <w:sz w:val="24"/>
          <w:szCs w:val="24"/>
          <w:highlight w:val="none"/>
        </w:rPr>
        <w:t>【注：①比选申请人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加盖比选申请人公章）】</w:t>
      </w:r>
      <w:r>
        <w:rPr>
          <w:rFonts w:hint="eastAsia" w:ascii="仿宋" w:hAnsi="仿宋" w:eastAsia="仿宋" w:cs="仿宋"/>
          <w:sz w:val="24"/>
          <w:szCs w:val="24"/>
          <w:highlight w:val="none"/>
        </w:rPr>
        <w:t>；</w:t>
      </w:r>
    </w:p>
    <w:p w14:paraId="0854B12F">
      <w:pPr>
        <w:spacing w:line="360" w:lineRule="auto"/>
        <w:ind w:firstLine="480"/>
        <w:jc w:val="left"/>
        <w:rPr>
          <w:rFonts w:ascii="仿宋" w:hAnsi="仿宋" w:eastAsia="仿宋" w:cs="仿宋"/>
          <w:b/>
          <w:bCs/>
          <w:sz w:val="24"/>
          <w:szCs w:val="24"/>
          <w:highlight w:val="none"/>
        </w:rPr>
      </w:pPr>
      <w:r>
        <w:rPr>
          <w:rFonts w:hint="eastAsia" w:ascii="仿宋" w:hAnsi="仿宋" w:eastAsia="仿宋" w:cs="仿宋"/>
          <w:sz w:val="24"/>
          <w:szCs w:val="24"/>
          <w:highlight w:val="none"/>
        </w:rPr>
        <w:t>4、具备健全的财务会计制度的证明材料</w:t>
      </w:r>
      <w:r>
        <w:rPr>
          <w:rFonts w:hint="eastAsia" w:ascii="仿宋" w:hAnsi="仿宋" w:eastAsia="仿宋" w:cs="仿宋"/>
          <w:b/>
          <w:sz w:val="24"/>
          <w:highlight w:val="none"/>
        </w:rPr>
        <w:t>【</w:t>
      </w:r>
      <w:r>
        <w:rPr>
          <w:rFonts w:hint="eastAsia" w:ascii="仿宋" w:hAnsi="仿宋" w:eastAsia="仿宋" w:cs="仿宋"/>
          <w:b/>
          <w:bCs/>
          <w:sz w:val="24"/>
          <w:highlight w:val="none"/>
        </w:rPr>
        <w:t>注：①提供202</w:t>
      </w:r>
      <w:r>
        <w:rPr>
          <w:rFonts w:hint="eastAsia" w:ascii="仿宋" w:hAnsi="仿宋" w:eastAsia="仿宋" w:cs="仿宋"/>
          <w:b/>
          <w:bCs/>
          <w:sz w:val="24"/>
          <w:highlight w:val="none"/>
          <w:lang w:val="en-US" w:eastAsia="zh-CN"/>
        </w:rPr>
        <w:t>3</w:t>
      </w:r>
      <w:r>
        <w:rPr>
          <w:rFonts w:hint="eastAsia" w:ascii="仿宋" w:hAnsi="仿宋" w:eastAsia="仿宋" w:cs="仿宋"/>
          <w:b/>
          <w:bCs/>
          <w:sz w:val="24"/>
          <w:highlight w:val="none"/>
        </w:rPr>
        <w:t>年以来</w:t>
      </w:r>
      <w:r>
        <w:rPr>
          <w:rFonts w:hint="eastAsia" w:ascii="仿宋" w:hAnsi="仿宋" w:eastAsia="仿宋" w:cs="仿宋"/>
          <w:b/>
          <w:bCs/>
          <w:sz w:val="24"/>
          <w:highlight w:val="none"/>
          <w:lang w:val="en-US" w:eastAsia="zh-CN"/>
        </w:rPr>
        <w:t>任意一年</w:t>
      </w:r>
      <w:r>
        <w:rPr>
          <w:rFonts w:hint="eastAsia" w:ascii="仿宋" w:hAnsi="仿宋" w:eastAsia="仿宋" w:cs="仿宋"/>
          <w:b/>
          <w:bCs/>
          <w:sz w:val="24"/>
          <w:highlight w:val="none"/>
        </w:rPr>
        <w:t>经审计的财务报告复印件（包含审计报告和审计报告中所涉及的财务报表和报表附注），</w:t>
      </w:r>
      <w:r>
        <w:rPr>
          <w:rFonts w:hint="eastAsia" w:ascii="仿宋" w:hAnsi="仿宋" w:eastAsia="仿宋" w:cs="仿宋"/>
          <w:b/>
          <w:sz w:val="24"/>
          <w:highlight w:val="none"/>
        </w:rPr>
        <w:t>②</w:t>
      </w:r>
      <w:r>
        <w:rPr>
          <w:rFonts w:hint="eastAsia" w:ascii="仿宋" w:hAnsi="仿宋" w:eastAsia="仿宋" w:cs="仿宋"/>
          <w:b/>
          <w:sz w:val="24"/>
          <w:highlight w:val="none"/>
          <w:lang w:val="en-US" w:eastAsia="zh-CN"/>
        </w:rPr>
        <w:t>或</w:t>
      </w:r>
      <w:r>
        <w:rPr>
          <w:rFonts w:hint="eastAsia" w:ascii="仿宋" w:hAnsi="仿宋" w:eastAsia="仿宋" w:cs="仿宋"/>
          <w:b/>
          <w:sz w:val="24"/>
          <w:highlight w:val="none"/>
        </w:rPr>
        <w:t>可提供</w:t>
      </w:r>
      <w:r>
        <w:rPr>
          <w:rFonts w:hint="eastAsia" w:ascii="仿宋" w:hAnsi="仿宋" w:eastAsia="仿宋" w:cs="仿宋"/>
          <w:b/>
          <w:bCs/>
          <w:sz w:val="24"/>
          <w:highlight w:val="none"/>
        </w:rPr>
        <w:t>202</w:t>
      </w:r>
      <w:r>
        <w:rPr>
          <w:rFonts w:hint="eastAsia" w:ascii="仿宋" w:hAnsi="仿宋" w:eastAsia="仿宋" w:cs="仿宋"/>
          <w:b/>
          <w:bCs/>
          <w:sz w:val="24"/>
          <w:highlight w:val="none"/>
          <w:lang w:val="en-US" w:eastAsia="zh-CN"/>
        </w:rPr>
        <w:t>3</w:t>
      </w:r>
      <w:r>
        <w:rPr>
          <w:rFonts w:hint="eastAsia" w:ascii="仿宋" w:hAnsi="仿宋" w:eastAsia="仿宋" w:cs="仿宋"/>
          <w:b/>
          <w:bCs/>
          <w:sz w:val="24"/>
          <w:highlight w:val="none"/>
        </w:rPr>
        <w:t>年以来</w:t>
      </w:r>
      <w:r>
        <w:rPr>
          <w:rFonts w:hint="eastAsia" w:ascii="仿宋" w:hAnsi="仿宋" w:eastAsia="仿宋" w:cs="仿宋"/>
          <w:b/>
          <w:bCs/>
          <w:sz w:val="24"/>
          <w:highlight w:val="none"/>
          <w:lang w:val="en-US" w:eastAsia="zh-CN"/>
        </w:rPr>
        <w:t>任意一年</w:t>
      </w:r>
      <w:r>
        <w:rPr>
          <w:rFonts w:hint="eastAsia" w:ascii="仿宋" w:hAnsi="仿宋" w:eastAsia="仿宋" w:cs="仿宋"/>
          <w:b/>
          <w:sz w:val="24"/>
          <w:highlight w:val="none"/>
        </w:rPr>
        <w:t>比选申请人内部的财务报表复印件（至少包含资产负债表），③</w:t>
      </w:r>
      <w:r>
        <w:rPr>
          <w:rFonts w:hint="eastAsia" w:ascii="仿宋" w:hAnsi="仿宋" w:eastAsia="仿宋" w:cs="仿宋"/>
          <w:b/>
          <w:sz w:val="24"/>
          <w:highlight w:val="none"/>
          <w:lang w:val="en-US" w:eastAsia="zh-CN"/>
        </w:rPr>
        <w:t>或</w:t>
      </w:r>
      <w:r>
        <w:rPr>
          <w:rFonts w:hint="eastAsia" w:ascii="仿宋" w:hAnsi="仿宋" w:eastAsia="仿宋" w:cs="仿宋"/>
          <w:b/>
          <w:sz w:val="24"/>
          <w:highlight w:val="none"/>
        </w:rPr>
        <w:t>可提供距文件递交截止日一年内银行出具的资信证明（复印件）；④比选申请人注册时间至文件递交截止日不足一年的，可提供加盖公章的验资报告或递交响应文件截止日一年内开户行出具的资信证明，或在工商备案的公司章程（复印件）加盖</w:t>
      </w:r>
      <w:r>
        <w:rPr>
          <w:rFonts w:hint="eastAsia" w:ascii="仿宋" w:hAnsi="仿宋" w:eastAsia="仿宋" w:cs="仿宋"/>
          <w:b/>
          <w:bCs/>
          <w:sz w:val="24"/>
          <w:highlight w:val="none"/>
        </w:rPr>
        <w:t>比选申请人</w:t>
      </w:r>
      <w:r>
        <w:rPr>
          <w:rFonts w:hint="eastAsia" w:ascii="仿宋" w:hAnsi="仿宋" w:eastAsia="仿宋" w:cs="仿宋"/>
          <w:b/>
          <w:sz w:val="24"/>
          <w:highlight w:val="none"/>
        </w:rPr>
        <w:t>公章；⑤</w:t>
      </w:r>
      <w:r>
        <w:rPr>
          <w:rFonts w:hint="eastAsia" w:ascii="仿宋" w:hAnsi="仿宋" w:eastAsia="仿宋" w:cs="仿宋"/>
          <w:b/>
          <w:sz w:val="24"/>
          <w:highlight w:val="none"/>
          <w:lang w:val="en-US" w:eastAsia="zh-CN"/>
        </w:rPr>
        <w:t>或</w:t>
      </w:r>
      <w:r>
        <w:rPr>
          <w:rFonts w:hint="eastAsia" w:ascii="仿宋" w:hAnsi="仿宋" w:eastAsia="仿宋" w:cs="仿宋"/>
          <w:b/>
          <w:sz w:val="24"/>
          <w:highlight w:val="none"/>
        </w:rPr>
        <w:t>可以按第三章 三、承诺函的要求提供书面承诺函原件</w:t>
      </w:r>
      <w:r>
        <w:rPr>
          <w:rFonts w:hint="eastAsia" w:ascii="仿宋" w:hAnsi="仿宋" w:eastAsia="仿宋" w:cs="仿宋"/>
          <w:sz w:val="24"/>
          <w:highlight w:val="none"/>
        </w:rPr>
        <w:t>】</w:t>
      </w:r>
      <w:r>
        <w:rPr>
          <w:rFonts w:hint="eastAsia" w:ascii="仿宋" w:hAnsi="仿宋" w:eastAsia="仿宋" w:cs="仿宋"/>
          <w:b/>
          <w:bCs/>
          <w:sz w:val="24"/>
          <w:szCs w:val="24"/>
          <w:highlight w:val="none"/>
        </w:rPr>
        <w:t>。</w:t>
      </w:r>
    </w:p>
    <w:p w14:paraId="1F70717C">
      <w:pPr>
        <w:spacing w:line="360" w:lineRule="auto"/>
        <w:ind w:firstLine="480"/>
        <w:jc w:val="left"/>
        <w:rPr>
          <w:rFonts w:ascii="仿宋" w:hAnsi="仿宋" w:eastAsia="仿宋" w:cs="仿宋"/>
          <w:b/>
          <w:bCs/>
          <w:sz w:val="24"/>
          <w:szCs w:val="24"/>
          <w:highlight w:val="none"/>
        </w:rPr>
      </w:pPr>
      <w:r>
        <w:rPr>
          <w:rFonts w:hint="eastAsia" w:ascii="仿宋" w:hAnsi="仿宋" w:eastAsia="仿宋" w:cs="仿宋"/>
          <w:sz w:val="24"/>
          <w:szCs w:val="24"/>
          <w:highlight w:val="none"/>
        </w:rPr>
        <w:t>5、具备良好商业信誉的证明材料</w:t>
      </w:r>
      <w:bookmarkStart w:id="70" w:name="_Hlk495647337"/>
      <w:r>
        <w:rPr>
          <w:rFonts w:hint="eastAsia" w:ascii="仿宋" w:hAnsi="仿宋" w:eastAsia="仿宋" w:cs="仿宋"/>
          <w:b/>
          <w:bCs/>
          <w:sz w:val="24"/>
          <w:szCs w:val="24"/>
          <w:highlight w:val="none"/>
        </w:rPr>
        <w:t>【注：按第三章 三、承诺函的要求提供书面承诺函原件</w:t>
      </w:r>
      <w:bookmarkEnd w:id="70"/>
      <w:r>
        <w:rPr>
          <w:rFonts w:hint="eastAsia" w:ascii="仿宋" w:hAnsi="仿宋" w:eastAsia="仿宋" w:cs="仿宋"/>
          <w:b/>
          <w:bCs/>
          <w:sz w:val="24"/>
          <w:szCs w:val="24"/>
          <w:highlight w:val="none"/>
        </w:rPr>
        <w:t>】；</w:t>
      </w:r>
    </w:p>
    <w:p w14:paraId="2AA606DF">
      <w:pPr>
        <w:spacing w:line="360" w:lineRule="auto"/>
        <w:ind w:firstLine="480"/>
        <w:jc w:val="left"/>
        <w:rPr>
          <w:rFonts w:ascii="仿宋" w:hAnsi="仿宋" w:eastAsia="仿宋" w:cs="仿宋"/>
          <w:b/>
          <w:bCs/>
          <w:sz w:val="24"/>
          <w:szCs w:val="24"/>
          <w:highlight w:val="none"/>
        </w:rPr>
      </w:pPr>
      <w:r>
        <w:rPr>
          <w:rFonts w:hint="eastAsia" w:ascii="仿宋" w:hAnsi="仿宋" w:eastAsia="仿宋" w:cs="仿宋"/>
          <w:sz w:val="24"/>
          <w:szCs w:val="24"/>
          <w:highlight w:val="none"/>
        </w:rPr>
        <w:t>6、具有依法缴纳税收和社会保障资金的良好记录</w:t>
      </w:r>
      <w:r>
        <w:rPr>
          <w:rFonts w:hint="eastAsia" w:ascii="仿宋" w:hAnsi="仿宋" w:eastAsia="仿宋" w:cs="仿宋"/>
          <w:b/>
          <w:bCs/>
          <w:sz w:val="24"/>
          <w:szCs w:val="24"/>
          <w:highlight w:val="none"/>
        </w:rPr>
        <w:t>【注：按第三章 三、承诺函的要求提供书面承诺函原件】；</w:t>
      </w:r>
    </w:p>
    <w:p w14:paraId="0FDAD5BE">
      <w:pPr>
        <w:spacing w:line="360" w:lineRule="auto"/>
        <w:ind w:firstLine="480"/>
        <w:jc w:val="left"/>
        <w:rPr>
          <w:rFonts w:ascii="仿宋" w:hAnsi="仿宋" w:eastAsia="仿宋" w:cs="仿宋"/>
          <w:b/>
          <w:bCs/>
          <w:sz w:val="24"/>
          <w:szCs w:val="24"/>
          <w:highlight w:val="none"/>
        </w:rPr>
      </w:pPr>
      <w:r>
        <w:rPr>
          <w:rFonts w:hint="eastAsia" w:ascii="仿宋" w:hAnsi="仿宋" w:eastAsia="仿宋" w:cs="仿宋"/>
          <w:sz w:val="24"/>
          <w:szCs w:val="24"/>
          <w:highlight w:val="none"/>
        </w:rPr>
        <w:t>7、具备履行合同所必需的设备和专业技术能力的证明材料</w:t>
      </w:r>
      <w:r>
        <w:rPr>
          <w:rFonts w:hint="eastAsia" w:ascii="仿宋" w:hAnsi="仿宋" w:eastAsia="仿宋" w:cs="仿宋"/>
          <w:b/>
          <w:bCs/>
          <w:sz w:val="24"/>
          <w:szCs w:val="24"/>
          <w:highlight w:val="none"/>
        </w:rPr>
        <w:t>【注：按第三章三、承诺函的要求提供书面承诺函原件】；</w:t>
      </w:r>
    </w:p>
    <w:p w14:paraId="05A3E259">
      <w:pPr>
        <w:spacing w:line="360" w:lineRule="auto"/>
        <w:ind w:firstLine="480"/>
        <w:jc w:val="left"/>
        <w:rPr>
          <w:rFonts w:ascii="仿宋" w:hAnsi="仿宋" w:eastAsia="仿宋" w:cs="仿宋"/>
          <w:b/>
          <w:bCs/>
          <w:sz w:val="24"/>
          <w:szCs w:val="24"/>
          <w:highlight w:val="none"/>
        </w:rPr>
      </w:pPr>
      <w:r>
        <w:rPr>
          <w:rFonts w:hint="eastAsia" w:ascii="仿宋" w:hAnsi="仿宋" w:eastAsia="仿宋" w:cs="仿宋"/>
          <w:sz w:val="24"/>
          <w:szCs w:val="24"/>
          <w:highlight w:val="none"/>
        </w:rPr>
        <w:t>8、参加本次采购活动前三年内，在经营活动中没有重大违法记录；</w:t>
      </w:r>
      <w:r>
        <w:rPr>
          <w:rFonts w:hint="eastAsia" w:ascii="仿宋" w:hAnsi="仿宋" w:eastAsia="仿宋" w:cs="仿宋"/>
          <w:b/>
          <w:bCs/>
          <w:sz w:val="24"/>
          <w:szCs w:val="24"/>
          <w:highlight w:val="none"/>
        </w:rPr>
        <w:t>【注：按第三章三、承诺函的要求提供书面承诺函原件】；</w:t>
      </w:r>
    </w:p>
    <w:p w14:paraId="5AA61E98">
      <w:pPr>
        <w:spacing w:line="360" w:lineRule="auto"/>
        <w:ind w:firstLine="480"/>
        <w:jc w:val="left"/>
        <w:rPr>
          <w:rFonts w:ascii="仿宋" w:hAnsi="仿宋" w:eastAsia="仿宋" w:cs="仿宋"/>
          <w:sz w:val="24"/>
          <w:szCs w:val="24"/>
          <w:highlight w:val="none"/>
        </w:rPr>
      </w:pPr>
      <w:r>
        <w:rPr>
          <w:rFonts w:hint="eastAsia" w:ascii="仿宋" w:hAnsi="仿宋" w:eastAsia="仿宋" w:cs="仿宋"/>
          <w:sz w:val="24"/>
          <w:szCs w:val="24"/>
          <w:highlight w:val="none"/>
        </w:rPr>
        <w:t>9、法律、行政法规规定的其他条件。</w:t>
      </w:r>
      <w:r>
        <w:rPr>
          <w:rFonts w:hint="eastAsia" w:ascii="仿宋" w:hAnsi="仿宋" w:eastAsia="仿宋" w:cs="仿宋"/>
          <w:b/>
          <w:bCs/>
          <w:sz w:val="24"/>
          <w:szCs w:val="24"/>
          <w:highlight w:val="none"/>
        </w:rPr>
        <w:t>【注：按第三章三、承诺函的要求提供书面承诺函原件】；</w:t>
      </w:r>
    </w:p>
    <w:p w14:paraId="3D73581C">
      <w:pPr>
        <w:spacing w:line="360" w:lineRule="auto"/>
        <w:ind w:firstLine="480"/>
        <w:jc w:val="left"/>
        <w:rPr>
          <w:rFonts w:hint="eastAsia" w:ascii="仿宋" w:hAnsi="仿宋" w:eastAsia="仿宋" w:cs="仿宋"/>
          <w:b/>
          <w:bCs/>
          <w:sz w:val="24"/>
          <w:szCs w:val="24"/>
          <w:highlight w:val="none"/>
        </w:rPr>
      </w:pPr>
      <w:r>
        <w:rPr>
          <w:rFonts w:hint="eastAsia" w:ascii="仿宋" w:hAnsi="仿宋" w:eastAsia="仿宋" w:cs="仿宋"/>
          <w:sz w:val="24"/>
          <w:szCs w:val="24"/>
          <w:highlight w:val="none"/>
        </w:rPr>
        <w:t>10、本项目参加采购活动的比选申请人、法定代表人、主要负责人近三年内不得具有行贿犯罪记录；</w:t>
      </w:r>
      <w:r>
        <w:rPr>
          <w:rFonts w:hint="eastAsia" w:ascii="仿宋" w:hAnsi="仿宋" w:eastAsia="仿宋" w:cs="仿宋"/>
          <w:b/>
          <w:bCs/>
          <w:sz w:val="24"/>
          <w:szCs w:val="24"/>
          <w:highlight w:val="none"/>
        </w:rPr>
        <w:t>【注：按第三章 三、承诺函的要求提供书面承诺函原件】。</w:t>
      </w:r>
    </w:p>
    <w:p w14:paraId="3DA68FE6">
      <w:pPr>
        <w:spacing w:line="360" w:lineRule="auto"/>
        <w:ind w:firstLine="480"/>
        <w:jc w:val="left"/>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11、</w:t>
      </w:r>
      <w:r>
        <w:rPr>
          <w:rFonts w:hint="eastAsia" w:ascii="仿宋" w:hAnsi="仿宋" w:eastAsia="仿宋" w:cs="仿宋"/>
          <w:sz w:val="24"/>
          <w:szCs w:val="24"/>
          <w:highlight w:val="none"/>
        </w:rPr>
        <w:t>具有国家行政主管部门颁发的会计师事务所执业证书。</w:t>
      </w:r>
      <w:r>
        <w:rPr>
          <w:rFonts w:hint="eastAsia" w:ascii="仿宋" w:hAnsi="仿宋" w:eastAsia="仿宋" w:cs="仿宋"/>
          <w:b/>
          <w:sz w:val="24"/>
          <w:highlight w:val="none"/>
        </w:rPr>
        <w:t>【</w:t>
      </w:r>
      <w:r>
        <w:rPr>
          <w:rFonts w:hint="eastAsia" w:ascii="仿宋" w:hAnsi="仿宋" w:eastAsia="仿宋" w:cs="仿宋"/>
          <w:b/>
          <w:bCs/>
          <w:sz w:val="24"/>
          <w:highlight w:val="none"/>
        </w:rPr>
        <w:t>注：提供会计师事务所执业证书复印件</w:t>
      </w:r>
      <w:r>
        <w:rPr>
          <w:rFonts w:hint="eastAsia" w:ascii="仿宋" w:hAnsi="仿宋" w:eastAsia="仿宋" w:cs="仿宋"/>
          <w:b/>
          <w:bCs/>
          <w:sz w:val="24"/>
          <w:szCs w:val="24"/>
          <w:highlight w:val="none"/>
        </w:rPr>
        <w:t>（加盖比选申请人公章）】</w:t>
      </w:r>
    </w:p>
    <w:p w14:paraId="435E729E">
      <w:pPr>
        <w:spacing w:line="360" w:lineRule="auto"/>
        <w:ind w:firstLine="480"/>
        <w:jc w:val="left"/>
        <w:rPr>
          <w:rFonts w:ascii="仿宋" w:hAnsi="仿宋" w:eastAsia="仿宋" w:cs="仿宋"/>
          <w:sz w:val="21"/>
          <w:szCs w:val="21"/>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、比选申请人认为有必要提供的其他资格证明材料。</w:t>
      </w:r>
    </w:p>
    <w:p w14:paraId="388053C0">
      <w:pPr>
        <w:spacing w:line="360" w:lineRule="auto"/>
        <w:ind w:firstLine="422" w:firstLineChars="200"/>
        <w:rPr>
          <w:rFonts w:ascii="仿宋" w:hAnsi="仿宋" w:eastAsia="仿宋" w:cs="仿宋"/>
          <w:b/>
          <w:bCs/>
          <w:sz w:val="21"/>
          <w:szCs w:val="21"/>
          <w:highlight w:val="none"/>
        </w:rPr>
      </w:pPr>
      <w:r>
        <w:rPr>
          <w:rFonts w:hint="eastAsia" w:ascii="仿宋" w:hAnsi="仿宋" w:eastAsia="仿宋" w:cs="仿宋"/>
          <w:b/>
          <w:bCs/>
          <w:sz w:val="21"/>
          <w:szCs w:val="21"/>
          <w:highlight w:val="none"/>
        </w:rPr>
        <w:t>注：本章要求按第三章 三、承诺函的要求提供书面承诺函原件的条款只需提供一份涵盖所有内容的承诺函，不需多份提供。</w:t>
      </w:r>
    </w:p>
    <w:p w14:paraId="25997488">
      <w:pPr>
        <w:pStyle w:val="2"/>
        <w:pageBreakBefore/>
        <w:spacing w:before="240" w:after="120" w:line="500" w:lineRule="exact"/>
        <w:rPr>
          <w:rFonts w:ascii="仿宋" w:hAnsi="仿宋" w:eastAsia="仿宋" w:cs="仿宋"/>
          <w:b/>
          <w:highlight w:val="none"/>
        </w:rPr>
      </w:pPr>
      <w:bookmarkStart w:id="71" w:name="_Toc9167"/>
      <w:r>
        <w:rPr>
          <w:rFonts w:hint="eastAsia" w:ascii="仿宋" w:hAnsi="仿宋" w:eastAsia="仿宋" w:cs="仿宋"/>
          <w:b/>
          <w:highlight w:val="none"/>
        </w:rPr>
        <w:t xml:space="preserve">第五章 </w:t>
      </w:r>
      <w:bookmarkEnd w:id="68"/>
      <w:r>
        <w:rPr>
          <w:rFonts w:hint="eastAsia" w:ascii="仿宋" w:hAnsi="仿宋" w:eastAsia="仿宋" w:cs="仿宋"/>
          <w:b/>
          <w:highlight w:val="none"/>
        </w:rPr>
        <w:t>比选项目技术、服务、采购合同内容条款及其他商务要求</w:t>
      </w:r>
      <w:bookmarkEnd w:id="71"/>
    </w:p>
    <w:p w14:paraId="4FA615FC">
      <w:pPr>
        <w:spacing w:line="360" w:lineRule="auto"/>
        <w:rPr>
          <w:rFonts w:ascii="仿宋" w:hAnsi="仿宋" w:eastAsia="仿宋" w:cs="仿宋"/>
          <w:color w:val="000000" w:themeColor="text1"/>
          <w:highlight w:val="none"/>
          <w14:textFill>
            <w14:solidFill>
              <w14:schemeClr w14:val="tx1"/>
            </w14:solidFill>
          </w14:textFill>
        </w:rPr>
      </w:pPr>
      <w:bookmarkStart w:id="72" w:name="_Toc17001"/>
      <w:bookmarkStart w:id="73" w:name="_Toc449705612"/>
      <w:r>
        <w:rPr>
          <w:rFonts w:hint="eastAsia" w:ascii="仿宋" w:hAnsi="仿宋" w:eastAsia="仿宋" w:cs="仿宋"/>
          <w:b/>
          <w:bCs/>
          <w:sz w:val="22"/>
          <w:szCs w:val="22"/>
          <w:highlight w:val="none"/>
        </w:rPr>
        <w:t>前提：本章中标注“★”的条款为本项目的实质性要求，投标人应完全满足，未响应或</w:t>
      </w:r>
      <w:r>
        <w:rPr>
          <w:rFonts w:hint="eastAsia" w:ascii="仿宋" w:hAnsi="仿宋" w:eastAsia="仿宋" w:cs="仿宋"/>
          <w:b/>
          <w:bCs/>
          <w:color w:val="000000" w:themeColor="text1"/>
          <w:sz w:val="22"/>
          <w:szCs w:val="22"/>
          <w:highlight w:val="none"/>
          <w14:textFill>
            <w14:solidFill>
              <w14:schemeClr w14:val="tx1"/>
            </w14:solidFill>
          </w14:textFill>
        </w:rPr>
        <w:t>不满足按无效投标处理。</w:t>
      </w:r>
    </w:p>
    <w:p w14:paraId="176CA4F9">
      <w:pPr>
        <w:numPr>
          <w:ilvl w:val="0"/>
          <w:numId w:val="0"/>
        </w:numPr>
        <w:spacing w:line="360" w:lineRule="auto"/>
        <w:jc w:val="left"/>
        <w:rPr>
          <w:rFonts w:hint="eastAsia" w:ascii="仿宋" w:hAnsi="仿宋" w:eastAsia="仿宋" w:cs="仿宋"/>
          <w:b/>
          <w:bCs/>
          <w:color w:val="000000" w:themeColor="text1"/>
          <w:sz w:val="24"/>
          <w:szCs w:val="24"/>
          <w:highlight w:val="none"/>
          <w14:textFill>
            <w14:solidFill>
              <w14:schemeClr w14:val="tx1"/>
            </w14:solidFill>
          </w14:textFill>
        </w:rPr>
      </w:pPr>
      <w:bookmarkStart w:id="74" w:name="_Toc25824"/>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一、</w:t>
      </w:r>
      <w:r>
        <w:rPr>
          <w:rFonts w:hint="eastAsia" w:ascii="仿宋" w:hAnsi="仿宋" w:eastAsia="仿宋" w:cs="仿宋"/>
          <w:b/>
          <w:bCs/>
          <w:color w:val="000000" w:themeColor="text1"/>
          <w:sz w:val="24"/>
          <w:szCs w:val="24"/>
          <w:highlight w:val="none"/>
          <w14:textFill>
            <w14:solidFill>
              <w14:schemeClr w14:val="tx1"/>
            </w14:solidFill>
          </w14:textFill>
        </w:rPr>
        <w:t>项目概述</w:t>
      </w:r>
    </w:p>
    <w:p w14:paraId="5DC7F622">
      <w:pPr>
        <w:widowControl/>
        <w:spacing w:line="360" w:lineRule="auto"/>
        <w:ind w:firstLine="480" w:firstLineChars="200"/>
        <w:rPr>
          <w:rFonts w:hint="eastAsia" w:ascii="仿宋" w:hAnsi="仿宋" w:eastAsia="仿宋"/>
          <w:color w:val="000000" w:themeColor="text1"/>
          <w:kern w:val="0"/>
          <w:sz w:val="24"/>
          <w:highlight w:val="none"/>
          <w14:textFill>
            <w14:solidFill>
              <w14:schemeClr w14:val="tx1"/>
            </w14:solidFill>
          </w14:textFill>
        </w:rPr>
      </w:pPr>
      <w:r>
        <w:rPr>
          <w:rFonts w:hint="eastAsia" w:ascii="仿宋" w:hAnsi="仿宋" w:eastAsia="仿宋"/>
          <w:color w:val="000000" w:themeColor="text1"/>
          <w:kern w:val="0"/>
          <w:sz w:val="24"/>
          <w:highlight w:val="none"/>
          <w14:textFill>
            <w14:solidFill>
              <w14:schemeClr w14:val="tx1"/>
            </w14:solidFill>
          </w14:textFill>
        </w:rPr>
        <w:t>本次招标为202</w:t>
      </w:r>
      <w:r>
        <w:rPr>
          <w:rFonts w:hint="eastAsia" w:ascii="仿宋" w:hAnsi="仿宋" w:eastAsia="仿宋"/>
          <w:color w:val="000000" w:themeColor="text1"/>
          <w:kern w:val="0"/>
          <w:sz w:val="24"/>
          <w:highlight w:val="none"/>
          <w:lang w:val="en-US" w:eastAsia="zh-CN"/>
          <w14:textFill>
            <w14:solidFill>
              <w14:schemeClr w14:val="tx1"/>
            </w14:solidFill>
          </w14:textFill>
        </w:rPr>
        <w:t>6</w:t>
      </w:r>
      <w:r>
        <w:rPr>
          <w:rFonts w:hint="eastAsia" w:ascii="仿宋" w:hAnsi="仿宋" w:eastAsia="仿宋"/>
          <w:color w:val="000000" w:themeColor="text1"/>
          <w:kern w:val="0"/>
          <w:sz w:val="24"/>
          <w:highlight w:val="none"/>
          <w14:textFill>
            <w14:solidFill>
              <w14:schemeClr w14:val="tx1"/>
            </w14:solidFill>
          </w14:textFill>
        </w:rPr>
        <w:t>年度审计服务采购，申请人需具备提供高校各项审计服务的能力，包括但不限于财务收支审计、经济责任审计、绩效审计和其它专项审计能力，以及申请人因特殊情况需要审计事务所给与配合的其他事项审计工作，从而规范</w:t>
      </w:r>
      <w:r>
        <w:rPr>
          <w:rFonts w:hint="eastAsia" w:ascii="仿宋" w:hAnsi="仿宋" w:eastAsia="仿宋"/>
          <w:color w:val="000000" w:themeColor="text1"/>
          <w:kern w:val="0"/>
          <w:sz w:val="24"/>
          <w:highlight w:val="none"/>
          <w:lang w:eastAsia="zh-CN"/>
          <w14:textFill>
            <w14:solidFill>
              <w14:schemeClr w14:val="tx1"/>
            </w14:solidFill>
          </w14:textFill>
        </w:rPr>
        <w:t>学院</w:t>
      </w:r>
      <w:r>
        <w:rPr>
          <w:rFonts w:hint="eastAsia" w:ascii="仿宋" w:hAnsi="仿宋" w:eastAsia="仿宋"/>
          <w:color w:val="000000" w:themeColor="text1"/>
          <w:kern w:val="0"/>
          <w:sz w:val="24"/>
          <w:highlight w:val="none"/>
          <w14:textFill>
            <w14:solidFill>
              <w14:schemeClr w14:val="tx1"/>
            </w14:solidFill>
          </w14:textFill>
        </w:rPr>
        <w:t>经济活动的执行和管理，保障经济活动的真实性、合规性和有效性，助力</w:t>
      </w:r>
      <w:r>
        <w:rPr>
          <w:rFonts w:hint="eastAsia" w:ascii="仿宋" w:hAnsi="仿宋" w:eastAsia="仿宋"/>
          <w:color w:val="000000" w:themeColor="text1"/>
          <w:kern w:val="0"/>
          <w:sz w:val="24"/>
          <w:highlight w:val="none"/>
          <w:lang w:eastAsia="zh-CN"/>
          <w14:textFill>
            <w14:solidFill>
              <w14:schemeClr w14:val="tx1"/>
            </w14:solidFill>
          </w14:textFill>
        </w:rPr>
        <w:t>学院</w:t>
      </w:r>
      <w:r>
        <w:rPr>
          <w:rFonts w:hint="eastAsia" w:ascii="仿宋" w:hAnsi="仿宋" w:eastAsia="仿宋"/>
          <w:color w:val="000000" w:themeColor="text1"/>
          <w:kern w:val="0"/>
          <w:sz w:val="24"/>
          <w:highlight w:val="none"/>
          <w14:textFill>
            <w14:solidFill>
              <w14:schemeClr w14:val="tx1"/>
            </w14:solidFill>
          </w14:textFill>
        </w:rPr>
        <w:t>事业高质量发展。</w:t>
      </w:r>
    </w:p>
    <w:bookmarkEnd w:id="74"/>
    <w:p w14:paraId="34C01DD0">
      <w:pPr>
        <w:widowControl/>
        <w:numPr>
          <w:ilvl w:val="0"/>
          <w:numId w:val="0"/>
        </w:numPr>
        <w:spacing w:before="120" w:beforeLines="50" w:after="120" w:afterLines="50" w:line="360" w:lineRule="auto"/>
        <w:ind w:left="0" w:leftChars="0" w:firstLine="0" w:firstLineChars="0"/>
        <w:jc w:val="left"/>
        <w:rPr>
          <w:rFonts w:hint="eastAsia" w:ascii="宋体" w:hAnsi="宋体"/>
          <w:b/>
          <w:bCs/>
          <w:color w:val="000000" w:themeColor="text1"/>
          <w:kern w:val="0"/>
          <w:sz w:val="24"/>
          <w:highlight w:val="none"/>
          <w:lang w:eastAsia="zh-CN"/>
          <w14:textFill>
            <w14:solidFill>
              <w14:schemeClr w14:val="tx1"/>
            </w14:solidFill>
          </w14:textFill>
        </w:rPr>
      </w:pPr>
      <w:r>
        <w:rPr>
          <w:rFonts w:hint="eastAsia" w:ascii="宋体" w:hAnsi="宋体" w:eastAsia="宋体" w:cs="Times New Roman"/>
          <w:b/>
          <w:bCs/>
          <w:color w:val="000000" w:themeColor="text1"/>
          <w:kern w:val="0"/>
          <w:sz w:val="24"/>
          <w:highlight w:val="none"/>
          <w:lang w:val="en-US" w:eastAsia="zh-CN" w:bidi="ar-SA"/>
          <w14:textFill>
            <w14:solidFill>
              <w14:schemeClr w14:val="tx1"/>
            </w14:solidFill>
          </w14:textFill>
        </w:rPr>
        <w:t>★二、</w:t>
      </w:r>
      <w:r>
        <w:rPr>
          <w:rFonts w:hint="eastAsia" w:ascii="宋体" w:hAnsi="宋体"/>
          <w:b/>
          <w:bCs/>
          <w:color w:val="000000" w:themeColor="text1"/>
          <w:kern w:val="0"/>
          <w:sz w:val="24"/>
          <w:highlight w:val="none"/>
          <w14:textFill>
            <w14:solidFill>
              <w14:schemeClr w14:val="tx1"/>
            </w14:solidFill>
          </w14:textFill>
        </w:rPr>
        <w:t>服务内容及要求</w:t>
      </w:r>
      <w:r>
        <w:rPr>
          <w:rFonts w:hint="eastAsia" w:ascii="宋体" w:hAnsi="宋体"/>
          <w:b/>
          <w:bCs/>
          <w:color w:val="000000" w:themeColor="text1"/>
          <w:kern w:val="0"/>
          <w:sz w:val="24"/>
          <w:highlight w:val="none"/>
          <w:lang w:eastAsia="zh-CN"/>
          <w14:textFill>
            <w14:solidFill>
              <w14:schemeClr w14:val="tx1"/>
            </w14:solidFill>
          </w14:textFill>
        </w:rPr>
        <w:t>：</w:t>
      </w:r>
    </w:p>
    <w:p w14:paraId="3CD9BF97">
      <w:pPr>
        <w:keepNext w:val="0"/>
        <w:keepLines w:val="0"/>
        <w:pageBreakBefore w:val="0"/>
        <w:widowControl/>
        <w:numPr>
          <w:ilvl w:val="0"/>
          <w:numId w:val="0"/>
        </w:numPr>
        <w:kinsoku/>
        <w:wordWrap/>
        <w:overflowPunct/>
        <w:topLinePunct w:val="0"/>
        <w:autoSpaceDE/>
        <w:autoSpaceDN/>
        <w:bidi w:val="0"/>
        <w:adjustRightInd/>
        <w:snapToGrid/>
        <w:spacing w:before="120" w:beforeLines="50" w:after="120" w:afterLines="50" w:line="360" w:lineRule="auto"/>
        <w:ind w:leftChars="0" w:firstLine="480" w:firstLineChars="200"/>
        <w:jc w:val="left"/>
        <w:textAlignment w:val="auto"/>
        <w:rPr>
          <w:rFonts w:hint="eastAsia" w:ascii="仿宋" w:hAnsi="仿宋" w:eastAsia="仿宋"/>
          <w:color w:val="000000" w:themeColor="text1"/>
          <w:kern w:val="0"/>
          <w:sz w:val="24"/>
          <w:highlight w:val="none"/>
          <w:lang w:val="en-US" w:eastAsia="zh-CN"/>
          <w14:textFill>
            <w14:solidFill>
              <w14:schemeClr w14:val="tx1"/>
            </w14:solidFill>
          </w14:textFill>
        </w:rPr>
      </w:pPr>
      <w:r>
        <w:rPr>
          <w:rFonts w:hint="eastAsia" w:ascii="仿宋" w:hAnsi="仿宋" w:eastAsia="仿宋"/>
          <w:color w:val="000000" w:themeColor="text1"/>
          <w:kern w:val="0"/>
          <w:sz w:val="24"/>
          <w:highlight w:val="none"/>
          <w:lang w:val="en-US" w:eastAsia="zh-CN"/>
          <w14:textFill>
            <w14:solidFill>
              <w14:schemeClr w14:val="tx1"/>
            </w14:solidFill>
          </w14:textFill>
        </w:rPr>
        <w:t>1.人员要求</w:t>
      </w:r>
    </w:p>
    <w:p w14:paraId="35DD7B62">
      <w:pPr>
        <w:keepNext w:val="0"/>
        <w:keepLines w:val="0"/>
        <w:pageBreakBefore w:val="0"/>
        <w:widowControl/>
        <w:numPr>
          <w:ilvl w:val="0"/>
          <w:numId w:val="0"/>
        </w:numPr>
        <w:kinsoku/>
        <w:wordWrap/>
        <w:overflowPunct/>
        <w:topLinePunct w:val="0"/>
        <w:autoSpaceDE/>
        <w:autoSpaceDN/>
        <w:bidi w:val="0"/>
        <w:adjustRightInd/>
        <w:snapToGrid/>
        <w:spacing w:before="120" w:beforeLines="50" w:after="120" w:afterLines="50" w:line="360" w:lineRule="auto"/>
        <w:ind w:leftChars="0" w:firstLine="480" w:firstLineChars="200"/>
        <w:jc w:val="left"/>
        <w:textAlignment w:val="auto"/>
        <w:rPr>
          <w:rFonts w:hint="eastAsia" w:ascii="仿宋" w:hAnsi="仿宋" w:eastAsia="仿宋"/>
          <w:color w:val="000000" w:themeColor="text1"/>
          <w:kern w:val="0"/>
          <w:sz w:val="24"/>
          <w:highlight w:val="none"/>
          <w:lang w:val="en-US" w:eastAsia="zh-CN"/>
          <w14:textFill>
            <w14:solidFill>
              <w14:schemeClr w14:val="tx1"/>
            </w14:solidFill>
          </w14:textFill>
        </w:rPr>
      </w:pPr>
      <w:r>
        <w:rPr>
          <w:rFonts w:hint="eastAsia" w:ascii="仿宋" w:hAnsi="仿宋" w:eastAsia="仿宋"/>
          <w:color w:val="000000" w:themeColor="text1"/>
          <w:kern w:val="0"/>
          <w:sz w:val="24"/>
          <w:highlight w:val="none"/>
          <w:lang w:val="en-US" w:eastAsia="zh-CN"/>
          <w14:textFill>
            <w14:solidFill>
              <w14:schemeClr w14:val="tx1"/>
            </w14:solidFill>
          </w14:textFill>
        </w:rPr>
        <w:t>（1）根据采购人要求，每个审计项目供应商应配置三人及以上参与审计组完成审计方案制定、项目审计、及采购人分配的其他工作。</w:t>
      </w:r>
    </w:p>
    <w:p w14:paraId="2AFC432D">
      <w:pPr>
        <w:keepNext w:val="0"/>
        <w:keepLines w:val="0"/>
        <w:pageBreakBefore w:val="0"/>
        <w:widowControl/>
        <w:numPr>
          <w:ilvl w:val="0"/>
          <w:numId w:val="0"/>
        </w:numPr>
        <w:kinsoku/>
        <w:wordWrap/>
        <w:overflowPunct/>
        <w:topLinePunct w:val="0"/>
        <w:autoSpaceDE/>
        <w:autoSpaceDN/>
        <w:bidi w:val="0"/>
        <w:adjustRightInd/>
        <w:snapToGrid/>
        <w:spacing w:before="120" w:beforeLines="50" w:after="120" w:afterLines="50" w:line="360" w:lineRule="auto"/>
        <w:ind w:leftChars="0" w:firstLine="480" w:firstLineChars="200"/>
        <w:jc w:val="left"/>
        <w:textAlignment w:val="auto"/>
        <w:rPr>
          <w:rFonts w:hint="eastAsia" w:ascii="仿宋" w:hAnsi="仿宋" w:eastAsia="仿宋"/>
          <w:color w:val="000000" w:themeColor="text1"/>
          <w:kern w:val="0"/>
          <w:sz w:val="24"/>
          <w:highlight w:val="none"/>
          <w:lang w:val="en-US" w:eastAsia="zh-CN"/>
          <w14:textFill>
            <w14:solidFill>
              <w14:schemeClr w14:val="tx1"/>
            </w14:solidFill>
          </w14:textFill>
        </w:rPr>
      </w:pPr>
      <w:r>
        <w:rPr>
          <w:rFonts w:hint="eastAsia" w:ascii="仿宋" w:hAnsi="仿宋" w:eastAsia="仿宋"/>
          <w:color w:val="000000" w:themeColor="text1"/>
          <w:kern w:val="0"/>
          <w:sz w:val="24"/>
          <w:highlight w:val="none"/>
          <w:lang w:val="en-US" w:eastAsia="zh-CN"/>
          <w14:textFill>
            <w14:solidFill>
              <w14:schemeClr w14:val="tx1"/>
            </w14:solidFill>
          </w14:textFill>
        </w:rPr>
        <w:t>（2）供应商需在响应文件中承诺负责本项目的审计人员名单与现场到场人员一致，审计人员名单经采购人审核确认后，不得随意更换；若由于不可控原因需中途撤换，须经采购人同意认可，替换人员的资质条件不得低于被替换人员</w:t>
      </w:r>
      <w:r>
        <w:rPr>
          <w:rFonts w:hint="eastAsia" w:ascii="仿宋" w:hAnsi="仿宋" w:eastAsia="仿宋"/>
          <w:b/>
          <w:bCs/>
          <w:color w:val="000000" w:themeColor="text1"/>
          <w:kern w:val="0"/>
          <w:sz w:val="24"/>
          <w:highlight w:val="none"/>
          <w:lang w:val="en-US" w:eastAsia="zh-CN"/>
          <w14:textFill>
            <w14:solidFill>
              <w14:schemeClr w14:val="tx1"/>
            </w14:solidFill>
          </w14:textFill>
        </w:rPr>
        <w:t>（单独提供承诺函，加盖供应商鲜章）</w:t>
      </w:r>
      <w:r>
        <w:rPr>
          <w:rFonts w:hint="eastAsia" w:ascii="仿宋" w:hAnsi="仿宋" w:eastAsia="仿宋"/>
          <w:color w:val="000000" w:themeColor="text1"/>
          <w:kern w:val="0"/>
          <w:sz w:val="24"/>
          <w:highlight w:val="none"/>
          <w:lang w:val="en-US" w:eastAsia="zh-CN"/>
          <w14:textFill>
            <w14:solidFill>
              <w14:schemeClr w14:val="tx1"/>
            </w14:solidFill>
          </w14:textFill>
        </w:rPr>
        <w:t>。</w:t>
      </w:r>
    </w:p>
    <w:p w14:paraId="1BAA709C">
      <w:pPr>
        <w:keepNext w:val="0"/>
        <w:keepLines w:val="0"/>
        <w:pageBreakBefore w:val="0"/>
        <w:widowControl/>
        <w:numPr>
          <w:ilvl w:val="0"/>
          <w:numId w:val="0"/>
        </w:numPr>
        <w:kinsoku/>
        <w:wordWrap/>
        <w:overflowPunct/>
        <w:topLinePunct w:val="0"/>
        <w:autoSpaceDE/>
        <w:autoSpaceDN/>
        <w:bidi w:val="0"/>
        <w:adjustRightInd/>
        <w:snapToGrid/>
        <w:spacing w:before="120" w:beforeLines="50" w:after="120" w:afterLines="50" w:line="360" w:lineRule="auto"/>
        <w:ind w:leftChars="0" w:firstLine="480" w:firstLineChars="200"/>
        <w:jc w:val="left"/>
        <w:textAlignment w:val="auto"/>
        <w:rPr>
          <w:rFonts w:hint="eastAsia" w:ascii="仿宋" w:hAnsi="仿宋" w:eastAsia="仿宋"/>
          <w:color w:val="000000" w:themeColor="text1"/>
          <w:kern w:val="0"/>
          <w:sz w:val="24"/>
          <w:highlight w:val="none"/>
          <w:lang w:val="en-US" w:eastAsia="zh-CN"/>
          <w14:textFill>
            <w14:solidFill>
              <w14:schemeClr w14:val="tx1"/>
            </w14:solidFill>
          </w14:textFill>
        </w:rPr>
      </w:pPr>
      <w:r>
        <w:rPr>
          <w:rFonts w:hint="default" w:ascii="仿宋" w:hAnsi="仿宋" w:eastAsia="仿宋"/>
          <w:color w:val="000000" w:themeColor="text1"/>
          <w:kern w:val="0"/>
          <w:sz w:val="24"/>
          <w:highlight w:val="none"/>
          <w:lang w:val="en-US" w:eastAsia="zh-CN"/>
          <w14:textFill>
            <w14:solidFill>
              <w14:schemeClr w14:val="tx1"/>
            </w14:solidFill>
          </w14:textFill>
        </w:rPr>
        <w:t>2.</w:t>
      </w:r>
      <w:r>
        <w:rPr>
          <w:rFonts w:hint="eastAsia" w:ascii="仿宋" w:hAnsi="仿宋" w:eastAsia="仿宋"/>
          <w:color w:val="000000" w:themeColor="text1"/>
          <w:kern w:val="0"/>
          <w:sz w:val="24"/>
          <w:highlight w:val="none"/>
          <w:lang w:val="en-US" w:eastAsia="zh-CN"/>
          <w14:textFill>
            <w14:solidFill>
              <w14:schemeClr w14:val="tx1"/>
            </w14:solidFill>
          </w14:textFill>
        </w:rPr>
        <w:t xml:space="preserve">时间要求：供应商应在采购人要求的时间内完成受托业务并出具审计报告。如因采购人原因或不可预见的情况，供应商不能按照约定时间完成受托业务，供应商应会同采购人协商后确定完成时限。 </w:t>
      </w:r>
    </w:p>
    <w:p w14:paraId="67B678BB">
      <w:pPr>
        <w:keepNext w:val="0"/>
        <w:keepLines w:val="0"/>
        <w:pageBreakBefore w:val="0"/>
        <w:widowControl/>
        <w:numPr>
          <w:ilvl w:val="0"/>
          <w:numId w:val="0"/>
        </w:numPr>
        <w:kinsoku/>
        <w:wordWrap/>
        <w:overflowPunct/>
        <w:topLinePunct w:val="0"/>
        <w:autoSpaceDE/>
        <w:autoSpaceDN/>
        <w:bidi w:val="0"/>
        <w:adjustRightInd/>
        <w:snapToGrid/>
        <w:spacing w:before="120" w:beforeLines="50" w:after="120" w:afterLines="50" w:line="360" w:lineRule="auto"/>
        <w:ind w:leftChars="0" w:firstLine="480" w:firstLineChars="200"/>
        <w:jc w:val="left"/>
        <w:textAlignment w:val="auto"/>
        <w:rPr>
          <w:rFonts w:hint="eastAsia" w:ascii="仿宋" w:hAnsi="仿宋" w:eastAsia="仿宋"/>
          <w:color w:val="000000" w:themeColor="text1"/>
          <w:kern w:val="0"/>
          <w:sz w:val="24"/>
          <w:highlight w:val="none"/>
          <w:lang w:val="en-US" w:eastAsia="zh-CN"/>
          <w14:textFill>
            <w14:solidFill>
              <w14:schemeClr w14:val="tx1"/>
            </w14:solidFill>
          </w14:textFill>
        </w:rPr>
      </w:pPr>
      <w:r>
        <w:rPr>
          <w:rFonts w:hint="default" w:ascii="仿宋" w:hAnsi="仿宋" w:eastAsia="仿宋"/>
          <w:color w:val="000000" w:themeColor="text1"/>
          <w:kern w:val="0"/>
          <w:sz w:val="24"/>
          <w:highlight w:val="none"/>
          <w:lang w:val="en-US" w:eastAsia="zh-CN"/>
          <w14:textFill>
            <w14:solidFill>
              <w14:schemeClr w14:val="tx1"/>
            </w14:solidFill>
          </w14:textFill>
        </w:rPr>
        <w:t>3.</w:t>
      </w:r>
      <w:r>
        <w:rPr>
          <w:rFonts w:hint="eastAsia" w:ascii="仿宋" w:hAnsi="仿宋" w:eastAsia="仿宋"/>
          <w:color w:val="000000" w:themeColor="text1"/>
          <w:kern w:val="0"/>
          <w:sz w:val="24"/>
          <w:highlight w:val="none"/>
          <w:lang w:val="en-US" w:eastAsia="zh-CN"/>
          <w14:textFill>
            <w14:solidFill>
              <w14:schemeClr w14:val="tx1"/>
            </w14:solidFill>
          </w14:textFill>
        </w:rPr>
        <w:t xml:space="preserve">根据采购人要求进行审计，出具审计报告，保证审计报告的真实性、合法性以及保证执业质量。 </w:t>
      </w:r>
    </w:p>
    <w:p w14:paraId="714F2B35">
      <w:pPr>
        <w:keepNext w:val="0"/>
        <w:keepLines w:val="0"/>
        <w:pageBreakBefore w:val="0"/>
        <w:widowControl/>
        <w:numPr>
          <w:ilvl w:val="0"/>
          <w:numId w:val="0"/>
        </w:numPr>
        <w:kinsoku/>
        <w:wordWrap/>
        <w:overflowPunct/>
        <w:topLinePunct w:val="0"/>
        <w:autoSpaceDE/>
        <w:autoSpaceDN/>
        <w:bidi w:val="0"/>
        <w:adjustRightInd/>
        <w:snapToGrid/>
        <w:spacing w:before="120" w:beforeLines="50" w:after="120" w:afterLines="50" w:line="360" w:lineRule="auto"/>
        <w:ind w:leftChars="0" w:firstLine="480" w:firstLineChars="200"/>
        <w:jc w:val="left"/>
        <w:textAlignment w:val="auto"/>
        <w:rPr>
          <w:rFonts w:hint="eastAsia" w:ascii="仿宋" w:hAnsi="仿宋" w:eastAsia="仿宋"/>
          <w:color w:val="000000" w:themeColor="text1"/>
          <w:kern w:val="0"/>
          <w:sz w:val="24"/>
          <w:highlight w:val="none"/>
          <w:lang w:val="en-US" w:eastAsia="zh-CN"/>
          <w14:textFill>
            <w14:solidFill>
              <w14:schemeClr w14:val="tx1"/>
            </w14:solidFill>
          </w14:textFill>
        </w:rPr>
      </w:pPr>
      <w:r>
        <w:rPr>
          <w:rFonts w:hint="default" w:ascii="仿宋" w:hAnsi="仿宋" w:eastAsia="仿宋"/>
          <w:color w:val="000000" w:themeColor="text1"/>
          <w:kern w:val="0"/>
          <w:sz w:val="24"/>
          <w:highlight w:val="none"/>
          <w:lang w:val="en-US" w:eastAsia="zh-CN"/>
          <w14:textFill>
            <w14:solidFill>
              <w14:schemeClr w14:val="tx1"/>
            </w14:solidFill>
          </w14:textFill>
        </w:rPr>
        <w:t>4.</w:t>
      </w:r>
      <w:r>
        <w:rPr>
          <w:rFonts w:hint="eastAsia" w:ascii="仿宋" w:hAnsi="仿宋" w:eastAsia="仿宋"/>
          <w:color w:val="000000" w:themeColor="text1"/>
          <w:kern w:val="0"/>
          <w:sz w:val="24"/>
          <w:highlight w:val="none"/>
          <w:lang w:val="en-US" w:eastAsia="zh-CN"/>
          <w14:textFill>
            <w14:solidFill>
              <w14:schemeClr w14:val="tx1"/>
            </w14:solidFill>
          </w14:textFill>
        </w:rPr>
        <w:t xml:space="preserve">客观公正依法审计，遵守审计纪律、职业道德、廉洁纪律。 </w:t>
      </w:r>
    </w:p>
    <w:p w14:paraId="7A9FDFD9">
      <w:pPr>
        <w:keepNext w:val="0"/>
        <w:keepLines w:val="0"/>
        <w:pageBreakBefore w:val="0"/>
        <w:widowControl/>
        <w:numPr>
          <w:ilvl w:val="0"/>
          <w:numId w:val="0"/>
        </w:numPr>
        <w:kinsoku/>
        <w:wordWrap/>
        <w:overflowPunct/>
        <w:topLinePunct w:val="0"/>
        <w:autoSpaceDE/>
        <w:autoSpaceDN/>
        <w:bidi w:val="0"/>
        <w:adjustRightInd/>
        <w:snapToGrid/>
        <w:spacing w:before="120" w:beforeLines="50" w:after="120" w:afterLines="50" w:line="360" w:lineRule="auto"/>
        <w:ind w:leftChars="0" w:firstLine="480" w:firstLineChars="200"/>
        <w:jc w:val="left"/>
        <w:textAlignment w:val="auto"/>
        <w:rPr>
          <w:rFonts w:hint="eastAsia" w:ascii="仿宋" w:hAnsi="仿宋" w:eastAsia="仿宋"/>
          <w:color w:val="000000" w:themeColor="text1"/>
          <w:kern w:val="0"/>
          <w:sz w:val="24"/>
          <w:highlight w:val="none"/>
          <w:lang w:val="en-US" w:eastAsia="zh-CN"/>
          <w14:textFill>
            <w14:solidFill>
              <w14:schemeClr w14:val="tx1"/>
            </w14:solidFill>
          </w14:textFill>
        </w:rPr>
      </w:pPr>
      <w:r>
        <w:rPr>
          <w:rFonts w:hint="default" w:ascii="仿宋" w:hAnsi="仿宋" w:eastAsia="仿宋"/>
          <w:color w:val="000000" w:themeColor="text1"/>
          <w:kern w:val="0"/>
          <w:sz w:val="24"/>
          <w:highlight w:val="none"/>
          <w:lang w:val="en-US" w:eastAsia="zh-CN"/>
          <w14:textFill>
            <w14:solidFill>
              <w14:schemeClr w14:val="tx1"/>
            </w14:solidFill>
          </w14:textFill>
        </w:rPr>
        <w:t>5.</w:t>
      </w:r>
      <w:r>
        <w:rPr>
          <w:rFonts w:hint="eastAsia" w:ascii="仿宋" w:hAnsi="仿宋" w:eastAsia="仿宋"/>
          <w:color w:val="000000" w:themeColor="text1"/>
          <w:kern w:val="0"/>
          <w:sz w:val="24"/>
          <w:highlight w:val="none"/>
          <w:lang w:val="en-US" w:eastAsia="zh-CN"/>
          <w14:textFill>
            <w14:solidFill>
              <w14:schemeClr w14:val="tx1"/>
            </w14:solidFill>
          </w14:textFill>
        </w:rPr>
        <w:t xml:space="preserve">供应商应对执行业务过程中知悉的国家秘密和采购人工作秘密及敏感信息严加保密。未经采购人同意不得擅自将审计相关情况和资料外泄，一经发现将取消其合同，并赔偿造成的损失。 </w:t>
      </w:r>
    </w:p>
    <w:p w14:paraId="181CEB30">
      <w:pPr>
        <w:keepNext w:val="0"/>
        <w:keepLines w:val="0"/>
        <w:pageBreakBefore w:val="0"/>
        <w:widowControl/>
        <w:numPr>
          <w:ilvl w:val="0"/>
          <w:numId w:val="0"/>
        </w:numPr>
        <w:kinsoku/>
        <w:wordWrap/>
        <w:overflowPunct/>
        <w:topLinePunct w:val="0"/>
        <w:autoSpaceDE/>
        <w:autoSpaceDN/>
        <w:bidi w:val="0"/>
        <w:adjustRightInd/>
        <w:snapToGrid/>
        <w:spacing w:before="120" w:beforeLines="50" w:after="120" w:afterLines="50" w:line="360" w:lineRule="auto"/>
        <w:ind w:leftChars="0" w:firstLine="480" w:firstLineChars="200"/>
        <w:jc w:val="left"/>
        <w:textAlignment w:val="auto"/>
        <w:rPr>
          <w:rFonts w:hint="eastAsia" w:ascii="仿宋" w:hAnsi="仿宋" w:eastAsia="仿宋"/>
          <w:color w:val="000000" w:themeColor="text1"/>
          <w:kern w:val="0"/>
          <w:sz w:val="24"/>
          <w:highlight w:val="none"/>
          <w:lang w:val="en-US" w:eastAsia="zh-CN"/>
          <w14:textFill>
            <w14:solidFill>
              <w14:schemeClr w14:val="tx1"/>
            </w14:solidFill>
          </w14:textFill>
        </w:rPr>
      </w:pPr>
      <w:r>
        <w:rPr>
          <w:rFonts w:hint="default" w:ascii="仿宋" w:hAnsi="仿宋" w:eastAsia="仿宋"/>
          <w:color w:val="000000" w:themeColor="text1"/>
          <w:kern w:val="0"/>
          <w:sz w:val="24"/>
          <w:highlight w:val="none"/>
          <w:lang w:val="en-US" w:eastAsia="zh-CN"/>
          <w14:textFill>
            <w14:solidFill>
              <w14:schemeClr w14:val="tx1"/>
            </w14:solidFill>
          </w14:textFill>
        </w:rPr>
        <w:t>6.</w:t>
      </w:r>
      <w:r>
        <w:rPr>
          <w:rFonts w:hint="eastAsia" w:ascii="仿宋" w:hAnsi="仿宋" w:eastAsia="仿宋"/>
          <w:color w:val="000000" w:themeColor="text1"/>
          <w:kern w:val="0"/>
          <w:sz w:val="24"/>
          <w:highlight w:val="none"/>
          <w:lang w:val="en-US" w:eastAsia="zh-CN"/>
          <w14:textFill>
            <w14:solidFill>
              <w14:schemeClr w14:val="tx1"/>
            </w14:solidFill>
          </w14:textFill>
        </w:rPr>
        <w:t xml:space="preserve">供应商在项目审计过程中和完成后，应按照采购人要求，收集、整理、保存好审计工作底稿、审计证据等档案资料。 </w:t>
      </w:r>
    </w:p>
    <w:p w14:paraId="54FF7E7B">
      <w:pPr>
        <w:keepNext w:val="0"/>
        <w:keepLines w:val="0"/>
        <w:pageBreakBefore w:val="0"/>
        <w:widowControl/>
        <w:numPr>
          <w:ilvl w:val="0"/>
          <w:numId w:val="0"/>
        </w:numPr>
        <w:kinsoku/>
        <w:wordWrap/>
        <w:overflowPunct/>
        <w:topLinePunct w:val="0"/>
        <w:autoSpaceDE/>
        <w:autoSpaceDN/>
        <w:bidi w:val="0"/>
        <w:adjustRightInd/>
        <w:snapToGrid/>
        <w:spacing w:before="120" w:beforeLines="50" w:after="120" w:afterLines="50" w:line="360" w:lineRule="auto"/>
        <w:ind w:leftChars="0" w:firstLine="480" w:firstLineChars="200"/>
        <w:jc w:val="left"/>
        <w:textAlignment w:val="auto"/>
        <w:rPr>
          <w:rFonts w:hint="eastAsia" w:ascii="仿宋" w:hAnsi="仿宋" w:eastAsia="仿宋"/>
          <w:color w:val="000000" w:themeColor="text1"/>
          <w:kern w:val="0"/>
          <w:sz w:val="24"/>
          <w:highlight w:val="none"/>
          <w:lang w:val="en-US" w:eastAsia="zh-CN"/>
          <w14:textFill>
            <w14:solidFill>
              <w14:schemeClr w14:val="tx1"/>
            </w14:solidFill>
          </w14:textFill>
        </w:rPr>
      </w:pPr>
      <w:r>
        <w:rPr>
          <w:rFonts w:hint="default" w:ascii="仿宋" w:hAnsi="仿宋" w:eastAsia="仿宋"/>
          <w:color w:val="000000" w:themeColor="text1"/>
          <w:kern w:val="0"/>
          <w:sz w:val="24"/>
          <w:highlight w:val="none"/>
          <w:lang w:val="en-US" w:eastAsia="zh-CN"/>
          <w14:textFill>
            <w14:solidFill>
              <w14:schemeClr w14:val="tx1"/>
            </w14:solidFill>
          </w14:textFill>
        </w:rPr>
        <w:t>7.</w:t>
      </w:r>
      <w:r>
        <w:rPr>
          <w:rFonts w:hint="eastAsia" w:ascii="仿宋" w:hAnsi="仿宋" w:eastAsia="仿宋"/>
          <w:color w:val="000000" w:themeColor="text1"/>
          <w:kern w:val="0"/>
          <w:sz w:val="24"/>
          <w:highlight w:val="none"/>
          <w:lang w:val="en-US" w:eastAsia="zh-CN"/>
          <w14:textFill>
            <w14:solidFill>
              <w14:schemeClr w14:val="tx1"/>
            </w14:solidFill>
          </w14:textFill>
        </w:rPr>
        <w:t xml:space="preserve">供应商在执行审计业务时，不得有下列行为： </w:t>
      </w:r>
    </w:p>
    <w:p w14:paraId="28FAA2CA">
      <w:pPr>
        <w:keepNext w:val="0"/>
        <w:keepLines w:val="0"/>
        <w:pageBreakBefore w:val="0"/>
        <w:widowControl/>
        <w:numPr>
          <w:ilvl w:val="0"/>
          <w:numId w:val="0"/>
        </w:numPr>
        <w:kinsoku/>
        <w:wordWrap/>
        <w:overflowPunct/>
        <w:topLinePunct w:val="0"/>
        <w:autoSpaceDE/>
        <w:autoSpaceDN/>
        <w:bidi w:val="0"/>
        <w:adjustRightInd/>
        <w:snapToGrid/>
        <w:spacing w:before="120" w:beforeLines="50" w:after="120" w:afterLines="50" w:line="360" w:lineRule="auto"/>
        <w:ind w:leftChars="0" w:firstLine="480" w:firstLineChars="200"/>
        <w:jc w:val="left"/>
        <w:textAlignment w:val="auto"/>
        <w:rPr>
          <w:rFonts w:hint="eastAsia" w:ascii="仿宋" w:hAnsi="仿宋" w:eastAsia="仿宋"/>
          <w:color w:val="000000" w:themeColor="text1"/>
          <w:kern w:val="0"/>
          <w:sz w:val="24"/>
          <w:highlight w:val="none"/>
          <w:lang w:val="en-US" w:eastAsia="zh-CN"/>
          <w14:textFill>
            <w14:solidFill>
              <w14:schemeClr w14:val="tx1"/>
            </w14:solidFill>
          </w14:textFill>
        </w:rPr>
      </w:pPr>
      <w:r>
        <w:rPr>
          <w:rFonts w:hint="eastAsia" w:ascii="仿宋" w:hAnsi="仿宋" w:eastAsia="仿宋"/>
          <w:color w:val="000000" w:themeColor="text1"/>
          <w:kern w:val="0"/>
          <w:sz w:val="24"/>
          <w:highlight w:val="none"/>
          <w:lang w:val="en-US" w:eastAsia="zh-CN"/>
          <w14:textFill>
            <w14:solidFill>
              <w14:schemeClr w14:val="tx1"/>
            </w14:solidFill>
          </w14:textFill>
        </w:rPr>
        <w:t>（</w:t>
      </w:r>
      <w:r>
        <w:rPr>
          <w:rFonts w:hint="default" w:ascii="仿宋" w:hAnsi="仿宋" w:eastAsia="仿宋"/>
          <w:color w:val="000000" w:themeColor="text1"/>
          <w:kern w:val="0"/>
          <w:sz w:val="24"/>
          <w:highlight w:val="none"/>
          <w:lang w:val="en-US" w:eastAsia="zh-CN"/>
          <w14:textFill>
            <w14:solidFill>
              <w14:schemeClr w14:val="tx1"/>
            </w14:solidFill>
          </w14:textFill>
        </w:rPr>
        <w:t>1</w:t>
      </w:r>
      <w:r>
        <w:rPr>
          <w:rFonts w:hint="eastAsia" w:ascii="仿宋" w:hAnsi="仿宋" w:eastAsia="仿宋"/>
          <w:color w:val="000000" w:themeColor="text1"/>
          <w:kern w:val="0"/>
          <w:sz w:val="24"/>
          <w:highlight w:val="none"/>
          <w:lang w:val="en-US" w:eastAsia="zh-CN"/>
          <w14:textFill>
            <w14:solidFill>
              <w14:schemeClr w14:val="tx1"/>
            </w14:solidFill>
          </w14:textFill>
        </w:rPr>
        <w:t xml:space="preserve">）索取、收受委托合同约定以外的酬金或者其他财物，或者利用执行业务之便， 谋取其他不正当的利益； </w:t>
      </w:r>
    </w:p>
    <w:p w14:paraId="3A1D6FC0">
      <w:pPr>
        <w:keepNext w:val="0"/>
        <w:keepLines w:val="0"/>
        <w:pageBreakBefore w:val="0"/>
        <w:widowControl/>
        <w:numPr>
          <w:ilvl w:val="0"/>
          <w:numId w:val="0"/>
        </w:numPr>
        <w:kinsoku/>
        <w:wordWrap/>
        <w:overflowPunct/>
        <w:topLinePunct w:val="0"/>
        <w:autoSpaceDE/>
        <w:autoSpaceDN/>
        <w:bidi w:val="0"/>
        <w:adjustRightInd/>
        <w:snapToGrid/>
        <w:spacing w:before="120" w:beforeLines="50" w:after="120" w:afterLines="50" w:line="360" w:lineRule="auto"/>
        <w:ind w:leftChars="0" w:firstLine="480" w:firstLineChars="200"/>
        <w:jc w:val="left"/>
        <w:textAlignment w:val="auto"/>
        <w:rPr>
          <w:rFonts w:hint="eastAsia" w:ascii="仿宋" w:hAnsi="仿宋" w:eastAsia="仿宋"/>
          <w:color w:val="000000" w:themeColor="text1"/>
          <w:kern w:val="0"/>
          <w:sz w:val="24"/>
          <w:highlight w:val="none"/>
          <w:lang w:val="en-US" w:eastAsia="zh-CN"/>
          <w14:textFill>
            <w14:solidFill>
              <w14:schemeClr w14:val="tx1"/>
            </w14:solidFill>
          </w14:textFill>
        </w:rPr>
      </w:pPr>
      <w:r>
        <w:rPr>
          <w:rFonts w:hint="eastAsia" w:ascii="仿宋" w:hAnsi="仿宋" w:eastAsia="仿宋"/>
          <w:color w:val="000000" w:themeColor="text1"/>
          <w:kern w:val="0"/>
          <w:sz w:val="24"/>
          <w:highlight w:val="none"/>
          <w:lang w:val="en-US" w:eastAsia="zh-CN"/>
          <w14:textFill>
            <w14:solidFill>
              <w14:schemeClr w14:val="tx1"/>
            </w14:solidFill>
          </w14:textFill>
        </w:rPr>
        <w:t>（</w:t>
      </w:r>
      <w:r>
        <w:rPr>
          <w:rFonts w:hint="default" w:ascii="仿宋" w:hAnsi="仿宋" w:eastAsia="仿宋"/>
          <w:color w:val="000000" w:themeColor="text1"/>
          <w:kern w:val="0"/>
          <w:sz w:val="24"/>
          <w:highlight w:val="none"/>
          <w:lang w:val="en-US" w:eastAsia="zh-CN"/>
          <w14:textFill>
            <w14:solidFill>
              <w14:schemeClr w14:val="tx1"/>
            </w14:solidFill>
          </w14:textFill>
        </w:rPr>
        <w:t>2</w:t>
      </w:r>
      <w:r>
        <w:rPr>
          <w:rFonts w:hint="eastAsia" w:ascii="仿宋" w:hAnsi="仿宋" w:eastAsia="仿宋"/>
          <w:color w:val="000000" w:themeColor="text1"/>
          <w:kern w:val="0"/>
          <w:sz w:val="24"/>
          <w:highlight w:val="none"/>
          <w:lang w:val="en-US" w:eastAsia="zh-CN"/>
          <w14:textFill>
            <w14:solidFill>
              <w14:schemeClr w14:val="tx1"/>
            </w14:solidFill>
          </w14:textFill>
        </w:rPr>
        <w:t xml:space="preserve">）允许他人以供应商名义执行业务； </w:t>
      </w:r>
    </w:p>
    <w:p w14:paraId="68F8E6D4">
      <w:pPr>
        <w:keepNext w:val="0"/>
        <w:keepLines w:val="0"/>
        <w:pageBreakBefore w:val="0"/>
        <w:widowControl/>
        <w:numPr>
          <w:ilvl w:val="0"/>
          <w:numId w:val="0"/>
        </w:numPr>
        <w:kinsoku/>
        <w:wordWrap/>
        <w:overflowPunct/>
        <w:topLinePunct w:val="0"/>
        <w:autoSpaceDE/>
        <w:autoSpaceDN/>
        <w:bidi w:val="0"/>
        <w:adjustRightInd/>
        <w:snapToGrid/>
        <w:spacing w:before="120" w:beforeLines="50" w:after="120" w:afterLines="50" w:line="360" w:lineRule="auto"/>
        <w:ind w:leftChars="0" w:firstLine="480" w:firstLineChars="200"/>
        <w:jc w:val="left"/>
        <w:textAlignment w:val="auto"/>
        <w:rPr>
          <w:rFonts w:hint="eastAsia" w:ascii="仿宋" w:hAnsi="仿宋" w:eastAsia="仿宋"/>
          <w:color w:val="000000" w:themeColor="text1"/>
          <w:kern w:val="0"/>
          <w:sz w:val="24"/>
          <w:highlight w:val="none"/>
          <w:lang w:val="en-US" w:eastAsia="zh-CN"/>
          <w14:textFill>
            <w14:solidFill>
              <w14:schemeClr w14:val="tx1"/>
            </w14:solidFill>
          </w14:textFill>
        </w:rPr>
      </w:pPr>
      <w:r>
        <w:rPr>
          <w:rFonts w:hint="eastAsia" w:ascii="仿宋" w:hAnsi="仿宋" w:eastAsia="仿宋"/>
          <w:color w:val="000000" w:themeColor="text1"/>
          <w:kern w:val="0"/>
          <w:sz w:val="24"/>
          <w:highlight w:val="none"/>
          <w:lang w:val="en-US" w:eastAsia="zh-CN"/>
          <w14:textFill>
            <w14:solidFill>
              <w14:schemeClr w14:val="tx1"/>
            </w14:solidFill>
          </w14:textFill>
        </w:rPr>
        <w:t>（</w:t>
      </w:r>
      <w:r>
        <w:rPr>
          <w:rFonts w:hint="default" w:ascii="仿宋" w:hAnsi="仿宋" w:eastAsia="仿宋"/>
          <w:color w:val="000000" w:themeColor="text1"/>
          <w:kern w:val="0"/>
          <w:sz w:val="24"/>
          <w:highlight w:val="none"/>
          <w:lang w:val="en-US" w:eastAsia="zh-CN"/>
          <w14:textFill>
            <w14:solidFill>
              <w14:schemeClr w14:val="tx1"/>
            </w14:solidFill>
          </w14:textFill>
        </w:rPr>
        <w:t>3</w:t>
      </w:r>
      <w:r>
        <w:rPr>
          <w:rFonts w:hint="eastAsia" w:ascii="仿宋" w:hAnsi="仿宋" w:eastAsia="仿宋"/>
          <w:color w:val="000000" w:themeColor="text1"/>
          <w:kern w:val="0"/>
          <w:sz w:val="24"/>
          <w:highlight w:val="none"/>
          <w:lang w:val="en-US" w:eastAsia="zh-CN"/>
          <w14:textFill>
            <w14:solidFill>
              <w14:schemeClr w14:val="tx1"/>
            </w14:solidFill>
          </w14:textFill>
        </w:rPr>
        <w:t xml:space="preserve">）对其能力进行广告宣传以招揽业务； </w:t>
      </w:r>
    </w:p>
    <w:p w14:paraId="57E131F4">
      <w:pPr>
        <w:keepNext w:val="0"/>
        <w:keepLines w:val="0"/>
        <w:pageBreakBefore w:val="0"/>
        <w:widowControl/>
        <w:numPr>
          <w:ilvl w:val="0"/>
          <w:numId w:val="0"/>
        </w:numPr>
        <w:kinsoku/>
        <w:wordWrap/>
        <w:overflowPunct/>
        <w:topLinePunct w:val="0"/>
        <w:autoSpaceDE/>
        <w:autoSpaceDN/>
        <w:bidi w:val="0"/>
        <w:adjustRightInd/>
        <w:snapToGrid/>
        <w:spacing w:before="120" w:beforeLines="50" w:after="120" w:afterLines="50" w:line="360" w:lineRule="auto"/>
        <w:ind w:leftChars="0" w:firstLine="480" w:firstLineChars="200"/>
        <w:jc w:val="left"/>
        <w:textAlignment w:val="auto"/>
        <w:rPr>
          <w:rFonts w:hint="eastAsia" w:ascii="仿宋" w:hAnsi="仿宋" w:eastAsia="仿宋"/>
          <w:color w:val="000000" w:themeColor="text1"/>
          <w:kern w:val="0"/>
          <w:sz w:val="24"/>
          <w:highlight w:val="none"/>
          <w:lang w:val="en-US" w:eastAsia="zh-CN"/>
          <w14:textFill>
            <w14:solidFill>
              <w14:schemeClr w14:val="tx1"/>
            </w14:solidFill>
          </w14:textFill>
        </w:rPr>
      </w:pPr>
      <w:r>
        <w:rPr>
          <w:rFonts w:hint="eastAsia" w:ascii="仿宋" w:hAnsi="仿宋" w:eastAsia="仿宋"/>
          <w:color w:val="000000" w:themeColor="text1"/>
          <w:kern w:val="0"/>
          <w:sz w:val="24"/>
          <w:highlight w:val="none"/>
          <w:lang w:val="en-US" w:eastAsia="zh-CN"/>
          <w14:textFill>
            <w14:solidFill>
              <w14:schemeClr w14:val="tx1"/>
            </w14:solidFill>
          </w14:textFill>
        </w:rPr>
        <w:t>（</w:t>
      </w:r>
      <w:r>
        <w:rPr>
          <w:rFonts w:hint="default" w:ascii="仿宋" w:hAnsi="仿宋" w:eastAsia="仿宋"/>
          <w:color w:val="000000" w:themeColor="text1"/>
          <w:kern w:val="0"/>
          <w:sz w:val="24"/>
          <w:highlight w:val="none"/>
          <w:lang w:val="en-US" w:eastAsia="zh-CN"/>
          <w14:textFill>
            <w14:solidFill>
              <w14:schemeClr w14:val="tx1"/>
            </w14:solidFill>
          </w14:textFill>
        </w:rPr>
        <w:t>4</w:t>
      </w:r>
      <w:r>
        <w:rPr>
          <w:rFonts w:hint="eastAsia" w:ascii="仿宋" w:hAnsi="仿宋" w:eastAsia="仿宋"/>
          <w:color w:val="000000" w:themeColor="text1"/>
          <w:kern w:val="0"/>
          <w:sz w:val="24"/>
          <w:highlight w:val="none"/>
          <w:lang w:val="en-US" w:eastAsia="zh-CN"/>
          <w14:textFill>
            <w14:solidFill>
              <w14:schemeClr w14:val="tx1"/>
            </w14:solidFill>
          </w14:textFill>
        </w:rPr>
        <w:t xml:space="preserve">）违反法律、行政法规的其他行为。 </w:t>
      </w:r>
    </w:p>
    <w:p w14:paraId="29DFBB18">
      <w:pPr>
        <w:keepNext w:val="0"/>
        <w:keepLines w:val="0"/>
        <w:pageBreakBefore w:val="0"/>
        <w:widowControl/>
        <w:numPr>
          <w:ilvl w:val="0"/>
          <w:numId w:val="0"/>
        </w:numPr>
        <w:kinsoku/>
        <w:wordWrap/>
        <w:overflowPunct/>
        <w:topLinePunct w:val="0"/>
        <w:autoSpaceDE/>
        <w:autoSpaceDN/>
        <w:bidi w:val="0"/>
        <w:adjustRightInd/>
        <w:snapToGrid/>
        <w:spacing w:before="120" w:beforeLines="50" w:after="120" w:afterLines="50" w:line="360" w:lineRule="auto"/>
        <w:ind w:leftChars="0" w:firstLine="480" w:firstLineChars="200"/>
        <w:jc w:val="left"/>
        <w:textAlignment w:val="auto"/>
        <w:rPr>
          <w:rFonts w:hint="eastAsia" w:ascii="仿宋" w:hAnsi="仿宋" w:eastAsia="仿宋"/>
          <w:color w:val="000000" w:themeColor="text1"/>
          <w:kern w:val="0"/>
          <w:sz w:val="24"/>
          <w:highlight w:val="none"/>
          <w:lang w:val="en-US" w:eastAsia="zh-CN"/>
          <w14:textFill>
            <w14:solidFill>
              <w14:schemeClr w14:val="tx1"/>
            </w14:solidFill>
          </w14:textFill>
        </w:rPr>
      </w:pPr>
      <w:r>
        <w:rPr>
          <w:rFonts w:hint="default" w:ascii="仿宋" w:hAnsi="仿宋" w:eastAsia="仿宋"/>
          <w:color w:val="000000" w:themeColor="text1"/>
          <w:kern w:val="0"/>
          <w:sz w:val="24"/>
          <w:highlight w:val="none"/>
          <w:lang w:val="en-US" w:eastAsia="zh-CN"/>
          <w14:textFill>
            <w14:solidFill>
              <w14:schemeClr w14:val="tx1"/>
            </w14:solidFill>
          </w14:textFill>
        </w:rPr>
        <w:t>8.</w:t>
      </w:r>
      <w:r>
        <w:rPr>
          <w:rFonts w:hint="eastAsia" w:ascii="仿宋" w:hAnsi="仿宋" w:eastAsia="仿宋"/>
          <w:color w:val="000000" w:themeColor="text1"/>
          <w:kern w:val="0"/>
          <w:sz w:val="24"/>
          <w:highlight w:val="none"/>
          <w:lang w:val="en-US" w:eastAsia="zh-CN"/>
          <w14:textFill>
            <w14:solidFill>
              <w14:schemeClr w14:val="tx1"/>
            </w14:solidFill>
          </w14:textFill>
        </w:rPr>
        <w:t xml:space="preserve">供应商办理审计事项，与被审计单位或者审计事项有利害关系的，应向采购人报告并申请回避。 </w:t>
      </w:r>
    </w:p>
    <w:p w14:paraId="39F8A225">
      <w:pPr>
        <w:keepNext w:val="0"/>
        <w:keepLines w:val="0"/>
        <w:pageBreakBefore w:val="0"/>
        <w:widowControl/>
        <w:numPr>
          <w:ilvl w:val="0"/>
          <w:numId w:val="0"/>
        </w:numPr>
        <w:kinsoku/>
        <w:wordWrap/>
        <w:overflowPunct/>
        <w:topLinePunct w:val="0"/>
        <w:autoSpaceDE/>
        <w:autoSpaceDN/>
        <w:bidi w:val="0"/>
        <w:adjustRightInd/>
        <w:snapToGrid/>
        <w:spacing w:before="120" w:beforeLines="50" w:after="120" w:afterLines="50" w:line="360" w:lineRule="auto"/>
        <w:ind w:leftChars="0" w:firstLine="480" w:firstLineChars="200"/>
        <w:jc w:val="left"/>
        <w:textAlignment w:val="auto"/>
        <w:rPr>
          <w:rFonts w:hint="eastAsia" w:ascii="仿宋" w:hAnsi="仿宋" w:eastAsia="仿宋"/>
          <w:color w:val="000000" w:themeColor="text1"/>
          <w:kern w:val="0"/>
          <w:sz w:val="24"/>
          <w:highlight w:val="none"/>
          <w:lang w:val="en-US" w:eastAsia="zh-CN"/>
          <w14:textFill>
            <w14:solidFill>
              <w14:schemeClr w14:val="tx1"/>
            </w14:solidFill>
          </w14:textFill>
        </w:rPr>
      </w:pPr>
      <w:r>
        <w:rPr>
          <w:rFonts w:hint="default" w:ascii="仿宋" w:hAnsi="仿宋" w:eastAsia="仿宋"/>
          <w:color w:val="000000" w:themeColor="text1"/>
          <w:kern w:val="0"/>
          <w:sz w:val="24"/>
          <w:highlight w:val="none"/>
          <w:lang w:val="en-US" w:eastAsia="zh-CN"/>
          <w14:textFill>
            <w14:solidFill>
              <w14:schemeClr w14:val="tx1"/>
            </w14:solidFill>
          </w14:textFill>
        </w:rPr>
        <w:t>9.</w:t>
      </w:r>
      <w:r>
        <w:rPr>
          <w:rFonts w:hint="eastAsia" w:ascii="仿宋" w:hAnsi="仿宋" w:eastAsia="仿宋"/>
          <w:color w:val="000000" w:themeColor="text1"/>
          <w:kern w:val="0"/>
          <w:sz w:val="24"/>
          <w:highlight w:val="none"/>
          <w:lang w:val="en-US" w:eastAsia="zh-CN"/>
          <w14:textFill>
            <w14:solidFill>
              <w14:schemeClr w14:val="tx1"/>
            </w14:solidFill>
          </w14:textFill>
        </w:rPr>
        <w:t xml:space="preserve">供应商接到审计资料后，应委派双方约定的项目组负责人和成员开展工作，不得随意变更；若供应商确有变更的需要，应经采购人同意。 </w:t>
      </w:r>
    </w:p>
    <w:p w14:paraId="1834D260">
      <w:pPr>
        <w:keepNext w:val="0"/>
        <w:keepLines w:val="0"/>
        <w:pageBreakBefore w:val="0"/>
        <w:widowControl/>
        <w:numPr>
          <w:ilvl w:val="0"/>
          <w:numId w:val="0"/>
        </w:numPr>
        <w:kinsoku/>
        <w:wordWrap/>
        <w:overflowPunct/>
        <w:topLinePunct w:val="0"/>
        <w:autoSpaceDE/>
        <w:autoSpaceDN/>
        <w:bidi w:val="0"/>
        <w:adjustRightInd/>
        <w:snapToGrid/>
        <w:spacing w:before="120" w:beforeLines="50" w:after="120" w:afterLines="50" w:line="360" w:lineRule="auto"/>
        <w:ind w:leftChars="0" w:firstLine="480" w:firstLineChars="200"/>
        <w:jc w:val="left"/>
        <w:textAlignment w:val="auto"/>
        <w:rPr>
          <w:rFonts w:hint="eastAsia" w:ascii="仿宋" w:hAnsi="仿宋" w:eastAsia="仿宋"/>
          <w:strike w:val="0"/>
          <w:dstrike w:val="0"/>
          <w:color w:val="auto"/>
          <w:kern w:val="0"/>
          <w:sz w:val="24"/>
          <w:highlight w:val="none"/>
          <w:lang w:val="en-US" w:eastAsia="zh-CN"/>
        </w:rPr>
      </w:pPr>
      <w:r>
        <w:rPr>
          <w:rFonts w:hint="default" w:ascii="仿宋" w:hAnsi="仿宋" w:eastAsia="仿宋"/>
          <w:color w:val="000000" w:themeColor="text1"/>
          <w:kern w:val="0"/>
          <w:sz w:val="24"/>
          <w:highlight w:val="none"/>
          <w:lang w:val="en-US" w:eastAsia="zh-CN"/>
          <w14:textFill>
            <w14:solidFill>
              <w14:schemeClr w14:val="tx1"/>
            </w14:solidFill>
          </w14:textFill>
        </w:rPr>
        <w:t>10.</w:t>
      </w:r>
      <w:r>
        <w:rPr>
          <w:rFonts w:hint="eastAsia" w:ascii="仿宋" w:hAnsi="仿宋" w:eastAsia="仿宋"/>
          <w:color w:val="000000" w:themeColor="text1"/>
          <w:kern w:val="0"/>
          <w:sz w:val="24"/>
          <w:highlight w:val="none"/>
          <w:lang w:val="en-US" w:eastAsia="zh-CN"/>
          <w14:textFill>
            <w14:solidFill>
              <w14:schemeClr w14:val="tx1"/>
            </w14:solidFill>
          </w14:textFill>
        </w:rPr>
        <w:t>采购人有权对项目审计过程及结果进行第三方复核检查，供应商应予以配合。</w:t>
      </w:r>
      <w:r>
        <w:rPr>
          <w:rFonts w:hint="eastAsia" w:ascii="仿宋" w:hAnsi="仿宋" w:eastAsia="仿宋"/>
          <w:strike w:val="0"/>
          <w:dstrike w:val="0"/>
          <w:color w:val="000000" w:themeColor="text1"/>
          <w:kern w:val="0"/>
          <w:sz w:val="24"/>
          <w:highlight w:val="none"/>
          <w:lang w:val="en-US" w:eastAsia="zh-CN"/>
          <w14:textFill>
            <w14:solidFill>
              <w14:schemeClr w14:val="tx1"/>
            </w14:solidFill>
          </w14:textFill>
        </w:rPr>
        <w:t>如在复核过程中发现重大失误和结果不准确</w:t>
      </w:r>
      <w:r>
        <w:rPr>
          <w:rFonts w:hint="eastAsia" w:ascii="仿宋" w:hAnsi="仿宋" w:eastAsia="仿宋"/>
          <w:color w:val="auto"/>
          <w:kern w:val="0"/>
          <w:sz w:val="24"/>
          <w:highlight w:val="none"/>
          <w:lang w:val="en-US" w:eastAsia="zh-CN"/>
        </w:rPr>
        <w:t>造成严重后果的将取消其供应商服务资格。</w:t>
      </w:r>
    </w:p>
    <w:p w14:paraId="2D8DB9D2">
      <w:pPr>
        <w:keepNext w:val="0"/>
        <w:keepLines w:val="0"/>
        <w:pageBreakBefore w:val="0"/>
        <w:widowControl/>
        <w:numPr>
          <w:ilvl w:val="0"/>
          <w:numId w:val="0"/>
        </w:numPr>
        <w:kinsoku/>
        <w:wordWrap/>
        <w:overflowPunct/>
        <w:topLinePunct w:val="0"/>
        <w:autoSpaceDE/>
        <w:autoSpaceDN/>
        <w:bidi w:val="0"/>
        <w:adjustRightInd/>
        <w:snapToGrid/>
        <w:spacing w:before="120" w:beforeLines="50" w:after="120" w:afterLines="50" w:line="360" w:lineRule="auto"/>
        <w:ind w:leftChars="0" w:firstLine="480" w:firstLineChars="200"/>
        <w:jc w:val="left"/>
        <w:textAlignment w:val="auto"/>
        <w:rPr>
          <w:rFonts w:hint="eastAsia" w:ascii="仿宋" w:hAnsi="仿宋" w:eastAsia="仿宋"/>
          <w:color w:val="000000" w:themeColor="text1"/>
          <w:kern w:val="0"/>
          <w:sz w:val="24"/>
          <w:highlight w:val="none"/>
          <w:lang w:val="en-US" w:eastAsia="zh-CN"/>
          <w14:textFill>
            <w14:solidFill>
              <w14:schemeClr w14:val="tx1"/>
            </w14:solidFill>
          </w14:textFill>
        </w:rPr>
      </w:pPr>
      <w:r>
        <w:rPr>
          <w:rFonts w:hint="eastAsia" w:ascii="仿宋" w:hAnsi="仿宋" w:eastAsia="仿宋"/>
          <w:color w:val="000000" w:themeColor="text1"/>
          <w:kern w:val="0"/>
          <w:sz w:val="24"/>
          <w:highlight w:val="none"/>
          <w:lang w:val="en-US" w:eastAsia="zh-CN"/>
          <w14:textFill>
            <w14:solidFill>
              <w14:schemeClr w14:val="tx1"/>
            </w14:solidFill>
          </w14:textFill>
        </w:rPr>
        <w:t>11.中选申请人对每次提供的审计服务提供售后服务，包括但不限于向采购人提供与此次审计相关的所有工作底稿、特定相关数据、回答采购人询问等。</w:t>
      </w:r>
    </w:p>
    <w:p w14:paraId="1970CAE1">
      <w:pPr>
        <w:pStyle w:val="58"/>
        <w:spacing w:before="120" w:beforeLines="50" w:afterLines="50" w:line="360" w:lineRule="auto"/>
        <w:ind w:left="0" w:leftChars="0" w:firstLine="0" w:firstLineChars="0"/>
        <w:rPr>
          <w:rFonts w:hint="eastAsia" w:ascii="仿宋" w:hAnsi="仿宋" w:eastAsia="仿宋"/>
          <w:b/>
          <w:bCs/>
          <w:color w:val="000000" w:themeColor="text1"/>
          <w:sz w:val="24"/>
          <w:highlight w:val="none"/>
          <w14:textFill>
            <w14:solidFill>
              <w14:schemeClr w14:val="tx1"/>
            </w14:solidFill>
          </w14:textFill>
        </w:rPr>
      </w:pPr>
      <w:r>
        <w:rPr>
          <w:rFonts w:hint="eastAsia" w:ascii="仿宋" w:hAnsi="仿宋" w:eastAsia="仿宋"/>
          <w:b/>
          <w:bCs/>
          <w:color w:val="000000" w:themeColor="text1"/>
          <w:sz w:val="24"/>
          <w:highlight w:val="none"/>
          <w:lang w:val="en-US" w:eastAsia="zh-CN"/>
          <w14:textFill>
            <w14:solidFill>
              <w14:schemeClr w14:val="tx1"/>
            </w14:solidFill>
          </w14:textFill>
        </w:rPr>
        <w:t>★</w:t>
      </w:r>
      <w:r>
        <w:rPr>
          <w:rFonts w:hint="eastAsia" w:ascii="仿宋" w:hAnsi="仿宋" w:eastAsia="仿宋"/>
          <w:b/>
          <w:bCs/>
          <w:color w:val="000000" w:themeColor="text1"/>
          <w:sz w:val="24"/>
          <w:highlight w:val="none"/>
          <w14:textFill>
            <w14:solidFill>
              <w14:schemeClr w14:val="tx1"/>
            </w14:solidFill>
          </w14:textFill>
        </w:rPr>
        <w:t>三、商务要求</w:t>
      </w:r>
      <w:r>
        <w:rPr>
          <w:rFonts w:hint="eastAsia" w:ascii="仿宋" w:hAnsi="仿宋" w:eastAsia="仿宋"/>
          <w:b/>
          <w:bCs/>
          <w:color w:val="000000" w:themeColor="text1"/>
          <w:sz w:val="24"/>
          <w:highlight w:val="none"/>
          <w:lang w:eastAsia="zh-CN"/>
          <w14:textFill>
            <w14:solidFill>
              <w14:schemeClr w14:val="tx1"/>
            </w14:solidFill>
          </w14:textFill>
        </w:rPr>
        <w:t>（</w:t>
      </w:r>
      <w:r>
        <w:rPr>
          <w:rFonts w:hint="eastAsia" w:ascii="仿宋" w:hAnsi="仿宋" w:eastAsia="仿宋"/>
          <w:b/>
          <w:bCs/>
          <w:color w:val="000000" w:themeColor="text1"/>
          <w:sz w:val="24"/>
          <w:highlight w:val="none"/>
          <w:lang w:val="en-US" w:eastAsia="zh-CN"/>
          <w14:textFill>
            <w14:solidFill>
              <w14:schemeClr w14:val="tx1"/>
            </w14:solidFill>
          </w14:textFill>
        </w:rPr>
        <w:t>实质性要求</w:t>
      </w:r>
      <w:r>
        <w:rPr>
          <w:rFonts w:hint="eastAsia" w:ascii="仿宋" w:hAnsi="仿宋" w:eastAsia="仿宋"/>
          <w:b/>
          <w:bCs/>
          <w:color w:val="000000" w:themeColor="text1"/>
          <w:sz w:val="24"/>
          <w:highlight w:val="none"/>
          <w:lang w:eastAsia="zh-CN"/>
          <w14:textFill>
            <w14:solidFill>
              <w14:schemeClr w14:val="tx1"/>
            </w14:solidFill>
          </w14:textFill>
        </w:rPr>
        <w:t>）</w:t>
      </w:r>
      <w:r>
        <w:rPr>
          <w:rFonts w:hint="eastAsia" w:ascii="仿宋" w:hAnsi="仿宋" w:eastAsia="仿宋"/>
          <w:b/>
          <w:bCs/>
          <w:color w:val="000000" w:themeColor="text1"/>
          <w:sz w:val="24"/>
          <w:highlight w:val="none"/>
          <w14:textFill>
            <w14:solidFill>
              <w14:schemeClr w14:val="tx1"/>
            </w14:solidFill>
          </w14:textFill>
        </w:rPr>
        <w:t>：</w:t>
      </w:r>
    </w:p>
    <w:p w14:paraId="2F613176">
      <w:pPr>
        <w:pStyle w:val="58"/>
        <w:numPr>
          <w:ilvl w:val="0"/>
          <w:numId w:val="19"/>
        </w:numPr>
        <w:spacing w:before="120" w:beforeLines="50" w:afterLines="50" w:line="360" w:lineRule="auto"/>
        <w:ind w:left="0" w:leftChars="0" w:firstLine="480" w:firstLineChars="200"/>
        <w:rPr>
          <w:rFonts w:hint="eastAsia" w:ascii="仿宋" w:hAnsi="仿宋" w:eastAsia="仿宋"/>
          <w:color w:val="000000" w:themeColor="text1"/>
          <w:sz w:val="24"/>
          <w:highlight w:val="none"/>
          <w:lang w:val="en-US" w:eastAsia="zh-CN"/>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服务期限</w:t>
      </w:r>
    </w:p>
    <w:p w14:paraId="0ABC95FB">
      <w:pPr>
        <w:pStyle w:val="58"/>
        <w:numPr>
          <w:ilvl w:val="0"/>
          <w:numId w:val="0"/>
        </w:numPr>
        <w:spacing w:before="120" w:beforeLines="50" w:afterLines="50" w:line="360" w:lineRule="auto"/>
        <w:ind w:firstLine="480" w:firstLineChars="200"/>
        <w:rPr>
          <w:rFonts w:hint="eastAsia" w:ascii="仿宋" w:hAnsi="仿宋" w:eastAsia="仿宋"/>
          <w:color w:val="000000" w:themeColor="text1"/>
          <w:sz w:val="24"/>
          <w:highlight w:val="none"/>
          <w:lang w:val="en-US" w:eastAsia="zh-CN"/>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自合同签订之日起至2026年12月31日止。中选申请人与</w:t>
      </w:r>
      <w:r>
        <w:rPr>
          <w:rFonts w:hint="eastAsia" w:ascii="仿宋" w:hAnsi="仿宋" w:eastAsia="仿宋"/>
          <w:color w:val="000000" w:themeColor="text1"/>
          <w:kern w:val="0"/>
          <w:sz w:val="24"/>
          <w:highlight w:val="none"/>
          <w:lang w:val="en-US" w:eastAsia="zh-CN"/>
          <w14:textFill>
            <w14:solidFill>
              <w14:schemeClr w14:val="tx1"/>
            </w14:solidFill>
          </w14:textFill>
        </w:rPr>
        <w:t>采购人</w:t>
      </w:r>
      <w:r>
        <w:rPr>
          <w:rFonts w:hint="eastAsia" w:ascii="仿宋" w:hAnsi="仿宋" w:eastAsia="仿宋"/>
          <w:color w:val="000000" w:themeColor="text1"/>
          <w:sz w:val="24"/>
          <w:highlight w:val="none"/>
          <w:lang w:val="en-US" w:eastAsia="zh-CN"/>
          <w14:textFill>
            <w14:solidFill>
              <w14:schemeClr w14:val="tx1"/>
            </w14:solidFill>
          </w14:textFill>
        </w:rPr>
        <w:t>签订协议后，首个服务期从协议签订之日起开始计算。每个审计项目结束采购人根据《四川商务职业学院审计服务考核标表》中的相关指标对中选申请人的服务质量作考评，若评估为“不合格”将中止协议，并重新组织招标。</w:t>
      </w:r>
    </w:p>
    <w:p w14:paraId="394E79C1">
      <w:pPr>
        <w:spacing w:line="360" w:lineRule="auto"/>
        <w:ind w:firstLine="480" w:firstLineChars="200"/>
        <w:rPr>
          <w:rFonts w:hint="eastAsia" w:ascii="仿宋" w:hAnsi="仿宋" w:eastAsia="仿宋" w:cs="Times New Roman"/>
          <w:color w:val="000000" w:themeColor="text1"/>
          <w:kern w:val="2"/>
          <w:sz w:val="24"/>
          <w:highlight w:val="none"/>
          <w:lang w:val="en-US" w:eastAsia="zh-CN" w:bidi="ar-SA"/>
          <w14:textFill>
            <w14:solidFill>
              <w14:schemeClr w14:val="tx1"/>
            </w14:solidFill>
          </w14:textFill>
        </w:rPr>
      </w:pPr>
      <w:r>
        <w:rPr>
          <w:rFonts w:hint="eastAsia" w:ascii="仿宋" w:hAnsi="仿宋" w:eastAsia="仿宋" w:cs="Times New Roman"/>
          <w:color w:val="000000" w:themeColor="text1"/>
          <w:kern w:val="2"/>
          <w:sz w:val="24"/>
          <w:highlight w:val="none"/>
          <w:lang w:val="en-US" w:eastAsia="zh-CN" w:bidi="ar-SA"/>
          <w14:textFill>
            <w14:solidFill>
              <w14:schemeClr w14:val="tx1"/>
            </w14:solidFill>
          </w14:textFill>
        </w:rPr>
        <w:t>在协议期间，中选申请人有下列情形之一的，</w:t>
      </w:r>
      <w:r>
        <w:rPr>
          <w:rFonts w:hint="eastAsia" w:ascii="仿宋" w:hAnsi="仿宋" w:eastAsia="仿宋"/>
          <w:color w:val="000000" w:themeColor="text1"/>
          <w:kern w:val="0"/>
          <w:sz w:val="24"/>
          <w:highlight w:val="none"/>
          <w:lang w:val="en-US" w:eastAsia="zh-CN"/>
          <w14:textFill>
            <w14:solidFill>
              <w14:schemeClr w14:val="tx1"/>
            </w14:solidFill>
          </w14:textFill>
        </w:rPr>
        <w:t>采购人</w:t>
      </w:r>
      <w:r>
        <w:rPr>
          <w:rFonts w:hint="eastAsia" w:ascii="仿宋" w:hAnsi="仿宋" w:eastAsia="仿宋" w:cs="Times New Roman"/>
          <w:color w:val="000000" w:themeColor="text1"/>
          <w:kern w:val="2"/>
          <w:sz w:val="24"/>
          <w:highlight w:val="none"/>
          <w:lang w:val="en-US" w:eastAsia="zh-CN" w:bidi="ar-SA"/>
          <w14:textFill>
            <w14:solidFill>
              <w14:schemeClr w14:val="tx1"/>
            </w14:solidFill>
          </w14:textFill>
        </w:rPr>
        <w:t>可随时与其终止委托协议。造成损失的，保留追究法律责任的权力。</w:t>
      </w:r>
    </w:p>
    <w:p w14:paraId="12A1B8EF">
      <w:pPr>
        <w:spacing w:line="360" w:lineRule="auto"/>
        <w:ind w:firstLine="480" w:firstLineChars="200"/>
        <w:rPr>
          <w:rFonts w:hint="eastAsia" w:ascii="仿宋" w:hAnsi="仿宋" w:eastAsia="仿宋" w:cs="Times New Roman"/>
          <w:color w:val="000000" w:themeColor="text1"/>
          <w:kern w:val="2"/>
          <w:sz w:val="24"/>
          <w:highlight w:val="none"/>
          <w:lang w:val="en-US" w:eastAsia="zh-CN" w:bidi="ar-SA"/>
          <w14:textFill>
            <w14:solidFill>
              <w14:schemeClr w14:val="tx1"/>
            </w14:solidFill>
          </w14:textFill>
        </w:rPr>
      </w:pPr>
      <w:r>
        <w:rPr>
          <w:rFonts w:hint="eastAsia" w:ascii="仿宋" w:hAnsi="仿宋" w:eastAsia="仿宋" w:cs="Times New Roman"/>
          <w:color w:val="000000" w:themeColor="text1"/>
          <w:kern w:val="2"/>
          <w:sz w:val="24"/>
          <w:highlight w:val="none"/>
          <w:lang w:val="en-US" w:eastAsia="zh-CN" w:bidi="ar-SA"/>
          <w14:textFill>
            <w14:solidFill>
              <w14:schemeClr w14:val="tx1"/>
            </w14:solidFill>
          </w14:textFill>
        </w:rPr>
        <w:t>1、无正当理由拒绝接受审计项目委托或咨询；</w:t>
      </w:r>
    </w:p>
    <w:p w14:paraId="614057CD">
      <w:pPr>
        <w:spacing w:line="360" w:lineRule="auto"/>
        <w:ind w:firstLine="480" w:firstLineChars="200"/>
        <w:rPr>
          <w:rFonts w:hint="eastAsia" w:ascii="仿宋" w:hAnsi="仿宋" w:eastAsia="仿宋" w:cs="Times New Roman"/>
          <w:color w:val="000000" w:themeColor="text1"/>
          <w:kern w:val="2"/>
          <w:sz w:val="24"/>
          <w:highlight w:val="none"/>
          <w:lang w:val="en-US" w:eastAsia="zh-CN" w:bidi="ar-SA"/>
          <w14:textFill>
            <w14:solidFill>
              <w14:schemeClr w14:val="tx1"/>
            </w14:solidFill>
          </w14:textFill>
        </w:rPr>
      </w:pPr>
      <w:r>
        <w:rPr>
          <w:rFonts w:hint="eastAsia" w:ascii="仿宋" w:hAnsi="仿宋" w:eastAsia="仿宋" w:cs="Times New Roman"/>
          <w:color w:val="000000" w:themeColor="text1"/>
          <w:kern w:val="2"/>
          <w:sz w:val="24"/>
          <w:highlight w:val="none"/>
          <w:lang w:val="en-US" w:eastAsia="zh-CN" w:bidi="ar-SA"/>
          <w14:textFill>
            <w14:solidFill>
              <w14:schemeClr w14:val="tx1"/>
            </w14:solidFill>
          </w14:textFill>
        </w:rPr>
        <w:t>2、未能按照合同约定的标准向采购人提供服务，导致出具的成果文件存在明显错项、漏项或偏差，以及其他未能通过采购人审核确认的情形且拒绝整改或整改不到位；</w:t>
      </w:r>
    </w:p>
    <w:p w14:paraId="7C754F67">
      <w:pPr>
        <w:spacing w:line="360" w:lineRule="auto"/>
        <w:ind w:firstLine="480" w:firstLineChars="200"/>
        <w:rPr>
          <w:rFonts w:hint="eastAsia" w:ascii="仿宋" w:hAnsi="仿宋" w:eastAsia="仿宋" w:cs="Times New Roman"/>
          <w:color w:val="000000" w:themeColor="text1"/>
          <w:kern w:val="2"/>
          <w:sz w:val="24"/>
          <w:highlight w:val="none"/>
          <w:lang w:val="en-US" w:eastAsia="zh-CN" w:bidi="ar-SA"/>
          <w14:textFill>
            <w14:solidFill>
              <w14:schemeClr w14:val="tx1"/>
            </w14:solidFill>
          </w14:textFill>
        </w:rPr>
      </w:pPr>
      <w:r>
        <w:rPr>
          <w:rFonts w:hint="eastAsia" w:ascii="仿宋" w:hAnsi="仿宋" w:eastAsia="仿宋" w:cs="Times New Roman"/>
          <w:color w:val="000000" w:themeColor="text1"/>
          <w:kern w:val="2"/>
          <w:sz w:val="24"/>
          <w:highlight w:val="none"/>
          <w:lang w:val="en-US" w:eastAsia="zh-CN" w:bidi="ar-SA"/>
          <w14:textFill>
            <w14:solidFill>
              <w14:schemeClr w14:val="tx1"/>
            </w14:solidFill>
          </w14:textFill>
        </w:rPr>
        <w:t>3、合同期间出现重大违法记录或不良信用记录；</w:t>
      </w:r>
    </w:p>
    <w:p w14:paraId="3B740CE4">
      <w:pPr>
        <w:spacing w:line="360" w:lineRule="auto"/>
        <w:ind w:firstLine="480" w:firstLineChars="200"/>
        <w:rPr>
          <w:rFonts w:hint="eastAsia" w:ascii="仿宋" w:hAnsi="仿宋" w:eastAsia="仿宋" w:cs="Times New Roman"/>
          <w:color w:val="000000" w:themeColor="text1"/>
          <w:kern w:val="2"/>
          <w:sz w:val="24"/>
          <w:highlight w:val="none"/>
          <w:lang w:val="en-US" w:eastAsia="zh-CN" w:bidi="ar-SA"/>
          <w14:textFill>
            <w14:solidFill>
              <w14:schemeClr w14:val="tx1"/>
            </w14:solidFill>
          </w14:textFill>
        </w:rPr>
      </w:pPr>
      <w:r>
        <w:rPr>
          <w:rFonts w:hint="eastAsia" w:ascii="仿宋" w:hAnsi="仿宋" w:eastAsia="仿宋" w:cs="Times New Roman"/>
          <w:color w:val="000000" w:themeColor="text1"/>
          <w:kern w:val="2"/>
          <w:sz w:val="24"/>
          <w:highlight w:val="none"/>
          <w:lang w:val="en-US" w:eastAsia="zh-CN" w:bidi="ar-SA"/>
          <w14:textFill>
            <w14:solidFill>
              <w14:schemeClr w14:val="tx1"/>
            </w14:solidFill>
          </w14:textFill>
        </w:rPr>
        <w:t>4、在监督检查中有被责令停业、吊销执照等直接影响经营的情况；</w:t>
      </w:r>
    </w:p>
    <w:p w14:paraId="6E1F6503">
      <w:pPr>
        <w:spacing w:line="360" w:lineRule="auto"/>
        <w:ind w:firstLine="480" w:firstLineChars="200"/>
        <w:rPr>
          <w:rFonts w:hint="eastAsia" w:ascii="仿宋" w:hAnsi="仿宋" w:eastAsia="仿宋" w:cs="Times New Roman"/>
          <w:color w:val="000000" w:themeColor="text1"/>
          <w:kern w:val="2"/>
          <w:sz w:val="24"/>
          <w:highlight w:val="none"/>
          <w:lang w:val="en-US" w:eastAsia="zh-CN" w:bidi="ar-SA"/>
          <w14:textFill>
            <w14:solidFill>
              <w14:schemeClr w14:val="tx1"/>
            </w14:solidFill>
          </w14:textFill>
        </w:rPr>
      </w:pPr>
      <w:r>
        <w:rPr>
          <w:rFonts w:hint="eastAsia" w:ascii="仿宋" w:hAnsi="仿宋" w:eastAsia="仿宋" w:cs="Times New Roman"/>
          <w:color w:val="000000" w:themeColor="text1"/>
          <w:kern w:val="2"/>
          <w:sz w:val="24"/>
          <w:highlight w:val="none"/>
          <w:lang w:val="en-US" w:eastAsia="zh-CN" w:bidi="ar-SA"/>
          <w14:textFill>
            <w14:solidFill>
              <w14:schemeClr w14:val="tx1"/>
            </w14:solidFill>
          </w14:textFill>
        </w:rPr>
        <w:t>5、与有利益的第三方串通，损害学院合法权益；</w:t>
      </w:r>
    </w:p>
    <w:p w14:paraId="45730A4B">
      <w:pPr>
        <w:spacing w:line="360" w:lineRule="auto"/>
        <w:ind w:firstLine="480" w:firstLineChars="200"/>
        <w:rPr>
          <w:rFonts w:hint="eastAsia" w:ascii="仿宋" w:hAnsi="仿宋" w:eastAsia="仿宋" w:cs="Times New Roman"/>
          <w:color w:val="000000" w:themeColor="text1"/>
          <w:kern w:val="2"/>
          <w:sz w:val="24"/>
          <w:highlight w:val="none"/>
          <w:lang w:val="en-US" w:eastAsia="zh-CN" w:bidi="ar-SA"/>
          <w14:textFill>
            <w14:solidFill>
              <w14:schemeClr w14:val="tx1"/>
            </w14:solidFill>
          </w14:textFill>
        </w:rPr>
      </w:pPr>
      <w:r>
        <w:rPr>
          <w:rFonts w:hint="eastAsia" w:ascii="仿宋" w:hAnsi="仿宋" w:eastAsia="仿宋" w:cs="Times New Roman"/>
          <w:color w:val="000000" w:themeColor="text1"/>
          <w:kern w:val="2"/>
          <w:sz w:val="24"/>
          <w:highlight w:val="none"/>
          <w:lang w:val="en-US" w:eastAsia="zh-CN" w:bidi="ar-SA"/>
          <w14:textFill>
            <w14:solidFill>
              <w14:schemeClr w14:val="tx1"/>
            </w14:solidFill>
          </w14:textFill>
        </w:rPr>
        <w:t>6、在项目中获取不正当利益；</w:t>
      </w:r>
    </w:p>
    <w:p w14:paraId="60D489F5">
      <w:pPr>
        <w:spacing w:line="360" w:lineRule="auto"/>
        <w:ind w:firstLine="480" w:firstLineChars="200"/>
        <w:rPr>
          <w:rFonts w:hint="eastAsia" w:ascii="仿宋" w:hAnsi="仿宋" w:eastAsia="仿宋"/>
          <w:color w:val="000000" w:themeColor="text1"/>
          <w:sz w:val="24"/>
          <w:highlight w:val="none"/>
          <w:lang w:val="en-US" w:eastAsia="zh-CN"/>
          <w14:textFill>
            <w14:solidFill>
              <w14:schemeClr w14:val="tx1"/>
            </w14:solidFill>
          </w14:textFill>
        </w:rPr>
      </w:pPr>
      <w:r>
        <w:rPr>
          <w:rFonts w:hint="eastAsia" w:ascii="仿宋" w:hAnsi="仿宋" w:eastAsia="仿宋" w:cs="Times New Roman"/>
          <w:color w:val="000000" w:themeColor="text1"/>
          <w:kern w:val="2"/>
          <w:sz w:val="24"/>
          <w:highlight w:val="none"/>
          <w:lang w:val="en-US" w:eastAsia="zh-CN" w:bidi="ar-SA"/>
          <w14:textFill>
            <w14:solidFill>
              <w14:schemeClr w14:val="tx1"/>
            </w14:solidFill>
          </w14:textFill>
        </w:rPr>
        <w:t>7、法律法规禁止和委托协议中约定的其他禁止行为。</w:t>
      </w:r>
    </w:p>
    <w:p w14:paraId="532866F6">
      <w:pPr>
        <w:pStyle w:val="58"/>
        <w:spacing w:before="120" w:beforeLines="50" w:afterLines="50" w:line="360" w:lineRule="auto"/>
        <w:ind w:left="0" w:leftChars="0" w:firstLine="480"/>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w:t>
      </w:r>
      <w:r>
        <w:rPr>
          <w:rFonts w:hint="eastAsia" w:ascii="仿宋" w:hAnsi="仿宋" w:eastAsia="仿宋"/>
          <w:color w:val="000000" w:themeColor="text1"/>
          <w:sz w:val="24"/>
          <w:highlight w:val="none"/>
          <w:lang w:val="en-US" w:eastAsia="zh-CN"/>
          <w14:textFill>
            <w14:solidFill>
              <w14:schemeClr w14:val="tx1"/>
            </w14:solidFill>
          </w14:textFill>
        </w:rPr>
        <w:t>二</w:t>
      </w:r>
      <w:r>
        <w:rPr>
          <w:rFonts w:hint="eastAsia" w:ascii="仿宋" w:hAnsi="仿宋" w:eastAsia="仿宋"/>
          <w:color w:val="000000" w:themeColor="text1"/>
          <w:sz w:val="24"/>
          <w:highlight w:val="none"/>
          <w14:textFill>
            <w14:solidFill>
              <w14:schemeClr w14:val="tx1"/>
            </w14:solidFill>
          </w14:textFill>
        </w:rPr>
        <w:t>）服务地点</w:t>
      </w:r>
    </w:p>
    <w:p w14:paraId="4C34A738">
      <w:pPr>
        <w:pStyle w:val="58"/>
        <w:spacing w:before="120" w:beforeLines="50" w:afterLines="50" w:line="360" w:lineRule="auto"/>
        <w:ind w:left="0" w:leftChars="0" w:firstLine="48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采购人指定地点。</w:t>
      </w:r>
    </w:p>
    <w:p w14:paraId="6CDB9D01">
      <w:pPr>
        <w:pStyle w:val="58"/>
        <w:spacing w:before="120" w:beforeLines="50" w:afterLines="50" w:line="360" w:lineRule="auto"/>
        <w:ind w:left="0" w:leftChars="0" w:firstLine="480" w:firstLineChars="200"/>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lang w:eastAsia="zh-CN"/>
          <w14:textFill>
            <w14:solidFill>
              <w14:schemeClr w14:val="tx1"/>
            </w14:solidFill>
          </w14:textFill>
        </w:rPr>
        <w:t>（</w:t>
      </w:r>
      <w:r>
        <w:rPr>
          <w:rFonts w:hint="eastAsia" w:ascii="仿宋" w:hAnsi="仿宋" w:eastAsia="仿宋"/>
          <w:color w:val="000000" w:themeColor="text1"/>
          <w:sz w:val="24"/>
          <w:highlight w:val="none"/>
          <w:lang w:val="en-US" w:eastAsia="zh-CN"/>
          <w14:textFill>
            <w14:solidFill>
              <w14:schemeClr w14:val="tx1"/>
            </w14:solidFill>
          </w14:textFill>
        </w:rPr>
        <w:t>三</w:t>
      </w:r>
      <w:r>
        <w:rPr>
          <w:rFonts w:hint="eastAsia" w:ascii="仿宋" w:hAnsi="仿宋" w:eastAsia="仿宋"/>
          <w:color w:val="000000" w:themeColor="text1"/>
          <w:sz w:val="24"/>
          <w:highlight w:val="none"/>
          <w:lang w:eastAsia="zh-CN"/>
          <w14:textFill>
            <w14:solidFill>
              <w14:schemeClr w14:val="tx1"/>
            </w14:solidFill>
          </w14:textFill>
        </w:rPr>
        <w:t>）</w:t>
      </w:r>
      <w:r>
        <w:rPr>
          <w:rFonts w:hint="eastAsia" w:ascii="仿宋" w:hAnsi="仿宋" w:eastAsia="仿宋"/>
          <w:color w:val="000000" w:themeColor="text1"/>
          <w:sz w:val="24"/>
          <w:highlight w:val="none"/>
          <w14:textFill>
            <w14:solidFill>
              <w14:schemeClr w14:val="tx1"/>
            </w14:solidFill>
          </w14:textFill>
        </w:rPr>
        <w:t>服务费用</w:t>
      </w:r>
    </w:p>
    <w:p w14:paraId="0234FA86">
      <w:pPr>
        <w:pStyle w:val="58"/>
        <w:spacing w:before="120" w:beforeLines="50" w:afterLines="50" w:line="360" w:lineRule="auto"/>
        <w:ind w:left="0" w:leftChars="0" w:firstLine="480" w:firstLineChars="200"/>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本项目无预付款，每个审计服务项目成果文件验收合格通过、支付凭证齐全后以对公转账支付方式支付该项目合同规定的全部款项。</w:t>
      </w:r>
      <w:r>
        <w:rPr>
          <w:rFonts w:hint="eastAsia" w:ascii="仿宋" w:hAnsi="仿宋" w:eastAsia="仿宋"/>
          <w:color w:val="000000" w:themeColor="text1"/>
          <w:sz w:val="24"/>
          <w:highlight w:val="none"/>
          <w:lang w:eastAsia="zh-CN"/>
          <w14:textFill>
            <w14:solidFill>
              <w14:schemeClr w14:val="tx1"/>
            </w14:solidFill>
          </w14:textFill>
        </w:rPr>
        <w:t>采购人</w:t>
      </w:r>
      <w:r>
        <w:rPr>
          <w:rFonts w:hint="eastAsia" w:ascii="仿宋" w:hAnsi="仿宋" w:eastAsia="仿宋"/>
          <w:color w:val="000000" w:themeColor="text1"/>
          <w:sz w:val="24"/>
          <w:highlight w:val="none"/>
          <w14:textFill>
            <w14:solidFill>
              <w14:schemeClr w14:val="tx1"/>
            </w14:solidFill>
          </w14:textFill>
        </w:rPr>
        <w:t>对中选申请人派出的审计工作人员开展审计工作给予充分的配合，提供必要的工作条件，但不另行支付中选申请人工作人员的</w:t>
      </w:r>
      <w:r>
        <w:rPr>
          <w:rFonts w:hint="eastAsia" w:ascii="仿宋" w:hAnsi="仿宋" w:eastAsia="仿宋"/>
          <w:color w:val="000000" w:themeColor="text1"/>
          <w:sz w:val="24"/>
          <w:highlight w:val="none"/>
          <w:lang w:val="en-US" w:eastAsia="zh-CN"/>
          <w14:textFill>
            <w14:solidFill>
              <w14:schemeClr w14:val="tx1"/>
            </w14:solidFill>
          </w14:textFill>
        </w:rPr>
        <w:t>办公费、</w:t>
      </w:r>
      <w:r>
        <w:rPr>
          <w:rFonts w:hint="eastAsia" w:ascii="仿宋" w:hAnsi="仿宋" w:eastAsia="仿宋"/>
          <w:color w:val="000000" w:themeColor="text1"/>
          <w:sz w:val="24"/>
          <w:highlight w:val="none"/>
          <w14:textFill>
            <w14:solidFill>
              <w14:schemeClr w14:val="tx1"/>
            </w14:solidFill>
          </w14:textFill>
        </w:rPr>
        <w:t>住宿费、交通费和餐费</w:t>
      </w:r>
      <w:r>
        <w:rPr>
          <w:rFonts w:hint="eastAsia" w:ascii="仿宋" w:hAnsi="仿宋" w:eastAsia="仿宋"/>
          <w:color w:val="000000" w:themeColor="text1"/>
          <w:sz w:val="24"/>
          <w:highlight w:val="none"/>
          <w:lang w:val="en-US" w:eastAsia="zh-CN"/>
          <w14:textFill>
            <w14:solidFill>
              <w14:schemeClr w14:val="tx1"/>
            </w14:solidFill>
          </w14:textFill>
        </w:rPr>
        <w:t>等费用</w:t>
      </w:r>
      <w:r>
        <w:rPr>
          <w:rFonts w:hint="eastAsia" w:ascii="仿宋" w:hAnsi="仿宋" w:eastAsia="仿宋"/>
          <w:color w:val="000000" w:themeColor="text1"/>
          <w:sz w:val="24"/>
          <w:highlight w:val="none"/>
          <w14:textFill>
            <w14:solidFill>
              <w14:schemeClr w14:val="tx1"/>
            </w14:solidFill>
          </w14:textFill>
        </w:rPr>
        <w:t>。</w:t>
      </w:r>
    </w:p>
    <w:p w14:paraId="5FE271A6">
      <w:pPr>
        <w:pStyle w:val="58"/>
        <w:spacing w:before="120" w:beforeLines="50" w:afterLines="50" w:line="360" w:lineRule="auto"/>
        <w:ind w:left="0" w:leftChars="0" w:firstLine="482" w:firstLineChars="200"/>
        <w:rPr>
          <w:rFonts w:ascii="仿宋" w:hAnsi="仿宋" w:eastAsia="仿宋"/>
          <w:b/>
          <w:bCs/>
          <w:color w:val="000000" w:themeColor="text1"/>
          <w:sz w:val="24"/>
          <w:highlight w:val="none"/>
          <w14:textFill>
            <w14:solidFill>
              <w14:schemeClr w14:val="tx1"/>
            </w14:solidFill>
          </w14:textFill>
        </w:rPr>
      </w:pPr>
      <w:r>
        <w:rPr>
          <w:rFonts w:hint="eastAsia" w:ascii="仿宋" w:hAnsi="仿宋" w:eastAsia="仿宋"/>
          <w:b/>
          <w:bCs/>
          <w:color w:val="000000" w:themeColor="text1"/>
          <w:sz w:val="24"/>
          <w:highlight w:val="none"/>
          <w:lang w:val="en-US" w:eastAsia="zh-CN"/>
          <w14:textFill>
            <w14:solidFill>
              <w14:schemeClr w14:val="tx1"/>
            </w14:solidFill>
          </w14:textFill>
        </w:rPr>
        <w:t>★</w:t>
      </w:r>
      <w:r>
        <w:rPr>
          <w:rFonts w:hint="eastAsia" w:ascii="仿宋" w:hAnsi="仿宋" w:eastAsia="仿宋"/>
          <w:b/>
          <w:bCs/>
          <w:color w:val="000000" w:themeColor="text1"/>
          <w:sz w:val="24"/>
          <w:highlight w:val="none"/>
          <w14:textFill>
            <w14:solidFill>
              <w14:schemeClr w14:val="tx1"/>
            </w14:solidFill>
          </w14:textFill>
        </w:rPr>
        <w:t>四、其他要求</w:t>
      </w:r>
      <w:r>
        <w:rPr>
          <w:rFonts w:ascii="仿宋" w:hAnsi="仿宋" w:eastAsia="仿宋"/>
          <w:b/>
          <w:bCs/>
          <w:color w:val="000000" w:themeColor="text1"/>
          <w:sz w:val="24"/>
          <w:highlight w:val="none"/>
          <w14:textFill>
            <w14:solidFill>
              <w14:schemeClr w14:val="tx1"/>
            </w14:solidFill>
          </w14:textFill>
        </w:rPr>
        <w:t>：</w:t>
      </w:r>
    </w:p>
    <w:p w14:paraId="7560079E">
      <w:pPr>
        <w:pStyle w:val="58"/>
        <w:spacing w:after="0" w:line="360" w:lineRule="auto"/>
        <w:ind w:left="0" w:leftChars="0" w:firstLine="480"/>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成交供应商所交付</w:t>
      </w:r>
      <w:r>
        <w:rPr>
          <w:rFonts w:hint="eastAsia" w:ascii="仿宋" w:hAnsi="仿宋" w:eastAsia="仿宋"/>
          <w:color w:val="000000" w:themeColor="text1"/>
          <w:sz w:val="24"/>
          <w:highlight w:val="none"/>
          <w:lang w:val="en-US" w:eastAsia="zh-CN"/>
          <w14:textFill>
            <w14:solidFill>
              <w14:schemeClr w14:val="tx1"/>
            </w14:solidFill>
          </w14:textFill>
        </w:rPr>
        <w:t>审计</w:t>
      </w:r>
      <w:r>
        <w:rPr>
          <w:rFonts w:hint="eastAsia" w:ascii="仿宋" w:hAnsi="仿宋" w:eastAsia="仿宋"/>
          <w:color w:val="000000" w:themeColor="text1"/>
          <w:sz w:val="24"/>
          <w:highlight w:val="none"/>
          <w14:textFill>
            <w14:solidFill>
              <w14:schemeClr w14:val="tx1"/>
            </w14:solidFill>
          </w14:textFill>
        </w:rPr>
        <w:t>服务内容、质量不符合采购文件规定的，视为违约，成交供应商应向采购人支付违约金，其金额为</w:t>
      </w:r>
      <w:r>
        <w:rPr>
          <w:rFonts w:hint="eastAsia" w:ascii="仿宋" w:hAnsi="仿宋" w:eastAsia="仿宋"/>
          <w:color w:val="000000" w:themeColor="text1"/>
          <w:sz w:val="24"/>
          <w:highlight w:val="none"/>
          <w:lang w:val="en-US" w:eastAsia="zh-CN"/>
          <w14:textFill>
            <w14:solidFill>
              <w14:schemeClr w14:val="tx1"/>
            </w14:solidFill>
          </w14:textFill>
        </w:rPr>
        <w:t>收费</w:t>
      </w:r>
      <w:r>
        <w:rPr>
          <w:rFonts w:hint="eastAsia" w:ascii="仿宋" w:hAnsi="仿宋" w:eastAsia="仿宋"/>
          <w:color w:val="000000" w:themeColor="text1"/>
          <w:sz w:val="24"/>
          <w:highlight w:val="none"/>
          <w14:textFill>
            <w14:solidFill>
              <w14:schemeClr w14:val="tx1"/>
            </w14:solidFill>
          </w14:textFill>
        </w:rPr>
        <w:t>总金额的30%，并承担因此给采购人造成的一切经济损失及责任。</w:t>
      </w:r>
    </w:p>
    <w:tbl>
      <w:tblPr>
        <w:tblStyle w:val="59"/>
        <w:tblW w:w="8668" w:type="dxa"/>
        <w:tblInd w:w="17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6"/>
        <w:gridCol w:w="847"/>
        <w:gridCol w:w="632"/>
        <w:gridCol w:w="5431"/>
        <w:gridCol w:w="772"/>
      </w:tblGrid>
      <w:tr w14:paraId="3A6CD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8668" w:type="dxa"/>
            <w:gridSpan w:val="5"/>
            <w:tcBorders>
              <w:top w:val="nil"/>
              <w:left w:val="nil"/>
              <w:bottom w:val="nil"/>
              <w:right w:val="nil"/>
            </w:tcBorders>
            <w:shd w:val="clear" w:color="auto" w:fill="auto"/>
            <w:vAlign w:val="center"/>
          </w:tcPr>
          <w:p w14:paraId="45EAB6C2">
            <w:pPr>
              <w:keepNext w:val="0"/>
              <w:keepLines w:val="0"/>
              <w:widowControl/>
              <w:suppressLineNumbers w:val="0"/>
              <w:spacing w:line="240" w:lineRule="auto"/>
              <w:jc w:val="center"/>
              <w:textAlignment w:val="center"/>
              <w:rPr>
                <w:rFonts w:ascii="方正公文小标宋" w:hAnsi="方正公文小标宋" w:eastAsia="方正公文小标宋" w:cs="方正公文小标宋"/>
                <w:i w:val="0"/>
                <w:iCs w:val="0"/>
                <w:color w:val="000000"/>
                <w:sz w:val="21"/>
                <w:szCs w:val="21"/>
                <w:highlight w:val="none"/>
                <w:u w:val="none"/>
              </w:rPr>
            </w:pPr>
            <w:r>
              <w:rPr>
                <w:rFonts w:hint="eastAsia" w:ascii="方正公文小标宋" w:hAnsi="方正公文小标宋" w:eastAsia="方正公文小标宋" w:cs="方正公文小标宋"/>
                <w:i w:val="0"/>
                <w:iCs w:val="0"/>
                <w:color w:val="000000"/>
                <w:kern w:val="0"/>
                <w:sz w:val="22"/>
                <w:szCs w:val="22"/>
                <w:highlight w:val="none"/>
                <w:u w:val="none"/>
                <w:lang w:val="en-US" w:eastAsia="zh-CN" w:bidi="ar"/>
              </w:rPr>
              <w:t>四川商务职业学院审计服务考核表</w:t>
            </w:r>
          </w:p>
        </w:tc>
      </w:tr>
      <w:tr w14:paraId="4457B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1BD64">
            <w:pPr>
              <w:spacing w:line="240" w:lineRule="auto"/>
              <w:rPr>
                <w:rFonts w:hint="eastAsia" w:ascii="方正仿宋_GB2312" w:hAnsi="方正仿宋_GB2312" w:eastAsia="方正仿宋_GB2312" w:cs="方正仿宋_GB2312"/>
                <w:b/>
                <w:bCs/>
                <w:i w:val="0"/>
                <w:iCs w:val="0"/>
                <w:color w:val="000000"/>
                <w:sz w:val="21"/>
                <w:szCs w:val="21"/>
                <w:highlight w:val="none"/>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D923">
            <w:pPr>
              <w:keepNext w:val="0"/>
              <w:keepLines w:val="0"/>
              <w:widowControl/>
              <w:suppressLineNumbers w:val="0"/>
              <w:spacing w:line="240" w:lineRule="auto"/>
              <w:jc w:val="center"/>
              <w:textAlignment w:val="center"/>
              <w:rPr>
                <w:rFonts w:hint="eastAsia" w:ascii="方正仿宋_GB2312" w:hAnsi="方正仿宋_GB2312" w:eastAsia="方正仿宋_GB2312" w:cs="方正仿宋_GB2312"/>
                <w:b/>
                <w:bCs/>
                <w:i w:val="0"/>
                <w:iCs w:val="0"/>
                <w:color w:val="000000"/>
                <w:sz w:val="21"/>
                <w:szCs w:val="21"/>
                <w:highlight w:val="none"/>
                <w:u w:val="none"/>
              </w:rPr>
            </w:pPr>
            <w:r>
              <w:rPr>
                <w:rFonts w:hint="eastAsia" w:ascii="方正仿宋_GB2312" w:hAnsi="方正仿宋_GB2312" w:eastAsia="方正仿宋_GB2312" w:cs="方正仿宋_GB2312"/>
                <w:b/>
                <w:bCs/>
                <w:i w:val="0"/>
                <w:iCs w:val="0"/>
                <w:color w:val="000000"/>
                <w:kern w:val="0"/>
                <w:sz w:val="21"/>
                <w:szCs w:val="21"/>
                <w:highlight w:val="none"/>
                <w:u w:val="none"/>
                <w:lang w:val="en-US" w:eastAsia="zh-CN" w:bidi="ar"/>
              </w:rPr>
              <w:t>考核指标</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D8628">
            <w:pPr>
              <w:keepNext w:val="0"/>
              <w:keepLines w:val="0"/>
              <w:widowControl/>
              <w:suppressLineNumbers w:val="0"/>
              <w:spacing w:line="240" w:lineRule="auto"/>
              <w:jc w:val="center"/>
              <w:textAlignment w:val="center"/>
              <w:rPr>
                <w:rFonts w:hint="eastAsia" w:ascii="方正仿宋_GB2312" w:hAnsi="方正仿宋_GB2312" w:eastAsia="方正仿宋_GB2312" w:cs="方正仿宋_GB2312"/>
                <w:b/>
                <w:bCs/>
                <w:i w:val="0"/>
                <w:iCs w:val="0"/>
                <w:color w:val="000000"/>
                <w:sz w:val="21"/>
                <w:szCs w:val="21"/>
                <w:highlight w:val="none"/>
                <w:u w:val="none"/>
              </w:rPr>
            </w:pPr>
            <w:r>
              <w:rPr>
                <w:rFonts w:hint="eastAsia" w:ascii="方正仿宋_GB2312" w:hAnsi="方正仿宋_GB2312" w:eastAsia="方正仿宋_GB2312" w:cs="方正仿宋_GB2312"/>
                <w:b/>
                <w:bCs/>
                <w:i w:val="0"/>
                <w:iCs w:val="0"/>
                <w:color w:val="000000"/>
                <w:kern w:val="0"/>
                <w:sz w:val="21"/>
                <w:szCs w:val="21"/>
                <w:highlight w:val="none"/>
                <w:u w:val="none"/>
                <w:lang w:val="en-US" w:eastAsia="zh-CN" w:bidi="ar"/>
              </w:rPr>
              <w:t>分值</w:t>
            </w:r>
          </w:p>
        </w:tc>
        <w:tc>
          <w:tcPr>
            <w:tcW w:w="5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464BA">
            <w:pPr>
              <w:keepNext w:val="0"/>
              <w:keepLines w:val="0"/>
              <w:widowControl/>
              <w:suppressLineNumbers w:val="0"/>
              <w:spacing w:line="240" w:lineRule="auto"/>
              <w:jc w:val="center"/>
              <w:textAlignment w:val="center"/>
              <w:rPr>
                <w:rFonts w:hint="eastAsia" w:ascii="方正仿宋_GB2312" w:hAnsi="方正仿宋_GB2312" w:eastAsia="方正仿宋_GB2312" w:cs="方正仿宋_GB2312"/>
                <w:b/>
                <w:bCs/>
                <w:i w:val="0"/>
                <w:iCs w:val="0"/>
                <w:color w:val="000000"/>
                <w:sz w:val="21"/>
                <w:szCs w:val="21"/>
                <w:highlight w:val="none"/>
                <w:u w:val="none"/>
              </w:rPr>
            </w:pPr>
            <w:r>
              <w:rPr>
                <w:rFonts w:hint="eastAsia" w:ascii="方正仿宋_GB2312" w:hAnsi="方正仿宋_GB2312" w:eastAsia="方正仿宋_GB2312" w:cs="方正仿宋_GB2312"/>
                <w:b/>
                <w:bCs/>
                <w:i w:val="0"/>
                <w:iCs w:val="0"/>
                <w:color w:val="000000"/>
                <w:kern w:val="0"/>
                <w:sz w:val="21"/>
                <w:szCs w:val="21"/>
                <w:highlight w:val="none"/>
                <w:u w:val="none"/>
                <w:lang w:val="en-US" w:eastAsia="zh-CN" w:bidi="ar"/>
              </w:rPr>
              <w:t>评分标准</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EE294">
            <w:pPr>
              <w:keepNext w:val="0"/>
              <w:keepLines w:val="0"/>
              <w:widowControl/>
              <w:suppressLineNumbers w:val="0"/>
              <w:spacing w:line="240" w:lineRule="auto"/>
              <w:jc w:val="center"/>
              <w:textAlignment w:val="center"/>
              <w:rPr>
                <w:rFonts w:hint="eastAsia" w:ascii="方正仿宋_GB2312" w:hAnsi="方正仿宋_GB2312" w:eastAsia="方正仿宋_GB2312" w:cs="方正仿宋_GB2312"/>
                <w:b/>
                <w:bCs/>
                <w:i w:val="0"/>
                <w:iCs w:val="0"/>
                <w:color w:val="000000"/>
                <w:sz w:val="21"/>
                <w:szCs w:val="21"/>
                <w:highlight w:val="none"/>
                <w:u w:val="none"/>
              </w:rPr>
            </w:pPr>
            <w:r>
              <w:rPr>
                <w:rFonts w:hint="eastAsia" w:ascii="方正仿宋_GB2312" w:hAnsi="方正仿宋_GB2312" w:eastAsia="方正仿宋_GB2312" w:cs="方正仿宋_GB2312"/>
                <w:b/>
                <w:bCs/>
                <w:i w:val="0"/>
                <w:iCs w:val="0"/>
                <w:color w:val="000000"/>
                <w:kern w:val="0"/>
                <w:sz w:val="21"/>
                <w:szCs w:val="21"/>
                <w:highlight w:val="none"/>
                <w:u w:val="none"/>
                <w:lang w:val="en-US" w:eastAsia="zh-CN" w:bidi="ar"/>
              </w:rPr>
              <w:t>考核得分</w:t>
            </w:r>
          </w:p>
        </w:tc>
      </w:tr>
      <w:tr w14:paraId="42B7C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3" w:hRule="atLeast"/>
        </w:trPr>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F7883F">
            <w:pPr>
              <w:keepNext w:val="0"/>
              <w:keepLines w:val="0"/>
              <w:widowControl/>
              <w:suppressLineNumbers w:val="0"/>
              <w:spacing w:line="240" w:lineRule="auto"/>
              <w:jc w:val="center"/>
              <w:textAlignment w:val="center"/>
              <w:rPr>
                <w:rFonts w:hint="eastAsia" w:ascii="方正仿宋_GB2312" w:hAnsi="方正仿宋_GB2312" w:eastAsia="方正仿宋_GB2312" w:cs="方正仿宋_GB2312"/>
                <w:b/>
                <w:bCs/>
                <w:i w:val="0"/>
                <w:iCs w:val="0"/>
                <w:color w:val="000000"/>
                <w:sz w:val="21"/>
                <w:szCs w:val="21"/>
                <w:highlight w:val="none"/>
                <w:u w:val="none"/>
              </w:rPr>
            </w:pPr>
            <w:r>
              <w:rPr>
                <w:rFonts w:hint="eastAsia" w:ascii="方正仿宋_GB2312" w:hAnsi="方正仿宋_GB2312" w:eastAsia="方正仿宋_GB2312" w:cs="方正仿宋_GB2312"/>
                <w:b/>
                <w:bCs/>
                <w:i w:val="0"/>
                <w:iCs w:val="0"/>
                <w:color w:val="000000"/>
                <w:kern w:val="0"/>
                <w:sz w:val="21"/>
                <w:szCs w:val="21"/>
                <w:highlight w:val="none"/>
                <w:u w:val="none"/>
                <w:lang w:val="en-US" w:eastAsia="zh-CN" w:bidi="ar"/>
              </w:rPr>
              <w:t>审计专业能力</w:t>
            </w:r>
            <w:r>
              <w:rPr>
                <w:rFonts w:hint="eastAsia" w:ascii="方正仿宋_GB2312" w:hAnsi="方正仿宋_GB2312" w:eastAsia="方正仿宋_GB2312" w:cs="方正仿宋_GB2312"/>
                <w:b/>
                <w:bCs/>
                <w:i w:val="0"/>
                <w:iCs w:val="0"/>
                <w:color w:val="000000"/>
                <w:kern w:val="0"/>
                <w:sz w:val="21"/>
                <w:szCs w:val="21"/>
                <w:highlight w:val="none"/>
                <w:u w:val="none"/>
                <w:lang w:val="en-US" w:eastAsia="zh-CN" w:bidi="ar"/>
              </w:rPr>
              <w:br w:type="textWrapping"/>
            </w:r>
            <w:r>
              <w:rPr>
                <w:rFonts w:hint="eastAsia" w:ascii="方正仿宋_GB2312" w:hAnsi="方正仿宋_GB2312" w:eastAsia="方正仿宋_GB2312" w:cs="方正仿宋_GB2312"/>
                <w:b/>
                <w:bCs/>
                <w:i w:val="0"/>
                <w:iCs w:val="0"/>
                <w:color w:val="000000"/>
                <w:kern w:val="0"/>
                <w:sz w:val="21"/>
                <w:szCs w:val="21"/>
                <w:highlight w:val="none"/>
                <w:u w:val="none"/>
                <w:lang w:val="en-US" w:eastAsia="zh-CN" w:bidi="ar"/>
              </w:rPr>
              <w:t>15分</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7704E">
            <w:pPr>
              <w:keepNext w:val="0"/>
              <w:keepLines w:val="0"/>
              <w:widowControl/>
              <w:suppressLineNumbers w:val="0"/>
              <w:spacing w:line="240" w:lineRule="auto"/>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专业技术水平</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B0E7D">
            <w:pPr>
              <w:keepNext w:val="0"/>
              <w:keepLines w:val="0"/>
              <w:widowControl/>
              <w:suppressLineNumbers w:val="0"/>
              <w:spacing w:line="240" w:lineRule="auto"/>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10分</w:t>
            </w:r>
          </w:p>
        </w:tc>
        <w:tc>
          <w:tcPr>
            <w:tcW w:w="5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0B1DB">
            <w:pPr>
              <w:keepNext w:val="0"/>
              <w:keepLines w:val="0"/>
              <w:widowControl/>
              <w:suppressLineNumbers w:val="0"/>
              <w:spacing w:line="240" w:lineRule="auto"/>
              <w:jc w:val="left"/>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1. 能准确理解审计需求，熟练运用审计方法、工具开展工作，审计思路清晰，得5分；方法不当、思路混乱，每次扣2分，扣完为止。</w:t>
            </w: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2. 对审计过程中发现的复杂问题，能提出专业、合理的分析及解决方案，得5分；无法解决复杂问题或解决方案不合理，每次扣2分，扣完为止。</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CA76B">
            <w:pPr>
              <w:spacing w:line="240" w:lineRule="auto"/>
              <w:rPr>
                <w:rFonts w:hint="eastAsia" w:ascii="宋体" w:hAnsi="宋体" w:eastAsia="宋体" w:cs="宋体"/>
                <w:i w:val="0"/>
                <w:iCs w:val="0"/>
                <w:color w:val="000000"/>
                <w:sz w:val="21"/>
                <w:szCs w:val="21"/>
                <w:highlight w:val="none"/>
                <w:u w:val="none"/>
              </w:rPr>
            </w:pPr>
          </w:p>
        </w:tc>
      </w:tr>
      <w:tr w14:paraId="1D574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2"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183B9">
            <w:pPr>
              <w:spacing w:line="240" w:lineRule="auto"/>
              <w:jc w:val="center"/>
              <w:rPr>
                <w:rFonts w:hint="eastAsia" w:ascii="方正仿宋_GB2312" w:hAnsi="方正仿宋_GB2312" w:eastAsia="方正仿宋_GB2312" w:cs="方正仿宋_GB2312"/>
                <w:b/>
                <w:bCs/>
                <w:i w:val="0"/>
                <w:iCs w:val="0"/>
                <w:color w:val="000000"/>
                <w:sz w:val="21"/>
                <w:szCs w:val="21"/>
                <w:highlight w:val="none"/>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9747A">
            <w:pPr>
              <w:keepNext w:val="0"/>
              <w:keepLines w:val="0"/>
              <w:widowControl/>
              <w:suppressLineNumbers w:val="0"/>
              <w:spacing w:line="240" w:lineRule="auto"/>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行业熟悉度</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1724E">
            <w:pPr>
              <w:keepNext w:val="0"/>
              <w:keepLines w:val="0"/>
              <w:widowControl/>
              <w:suppressLineNumbers w:val="0"/>
              <w:spacing w:line="240" w:lineRule="auto"/>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5分</w:t>
            </w:r>
          </w:p>
        </w:tc>
        <w:tc>
          <w:tcPr>
            <w:tcW w:w="5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4BA4">
            <w:pPr>
              <w:keepNext w:val="0"/>
              <w:keepLines w:val="0"/>
              <w:widowControl/>
              <w:suppressLineNumbers w:val="0"/>
              <w:spacing w:line="240" w:lineRule="auto"/>
              <w:jc w:val="left"/>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熟悉甲方所在行业的政策法规、业务流程及风险点，审计工作贴合实际，得5分；不熟悉行业情况，导致审计重点偏差，每次扣2分，扣完为止。</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77BC8">
            <w:pPr>
              <w:spacing w:line="240" w:lineRule="auto"/>
              <w:rPr>
                <w:rFonts w:hint="eastAsia" w:ascii="宋体" w:hAnsi="宋体" w:eastAsia="宋体" w:cs="宋体"/>
                <w:i w:val="0"/>
                <w:iCs w:val="0"/>
                <w:color w:val="000000"/>
                <w:sz w:val="21"/>
                <w:szCs w:val="21"/>
                <w:highlight w:val="none"/>
                <w:u w:val="none"/>
              </w:rPr>
            </w:pPr>
          </w:p>
        </w:tc>
      </w:tr>
      <w:tr w14:paraId="65679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7" w:hRule="atLeast"/>
        </w:trPr>
        <w:tc>
          <w:tcPr>
            <w:tcW w:w="986" w:type="dxa"/>
            <w:vMerge w:val="restart"/>
            <w:tcBorders>
              <w:top w:val="single" w:color="000000" w:sz="4" w:space="0"/>
              <w:left w:val="single" w:color="000000" w:sz="4" w:space="0"/>
              <w:bottom w:val="nil"/>
              <w:right w:val="single" w:color="000000" w:sz="4" w:space="0"/>
            </w:tcBorders>
            <w:shd w:val="clear" w:color="auto" w:fill="auto"/>
            <w:vAlign w:val="center"/>
          </w:tcPr>
          <w:p w14:paraId="15EC8740">
            <w:pPr>
              <w:keepNext w:val="0"/>
              <w:keepLines w:val="0"/>
              <w:widowControl/>
              <w:suppressLineNumbers w:val="0"/>
              <w:spacing w:line="240" w:lineRule="auto"/>
              <w:jc w:val="center"/>
              <w:textAlignment w:val="center"/>
              <w:rPr>
                <w:rFonts w:hint="eastAsia" w:ascii="方正仿宋_GB2312" w:hAnsi="方正仿宋_GB2312" w:eastAsia="方正仿宋_GB2312" w:cs="方正仿宋_GB2312"/>
                <w:b/>
                <w:bCs/>
                <w:i w:val="0"/>
                <w:iCs w:val="0"/>
                <w:color w:val="000000"/>
                <w:sz w:val="21"/>
                <w:szCs w:val="21"/>
                <w:highlight w:val="none"/>
                <w:u w:val="none"/>
              </w:rPr>
            </w:pPr>
            <w:r>
              <w:rPr>
                <w:rFonts w:hint="eastAsia" w:ascii="方正仿宋_GB2312" w:hAnsi="方正仿宋_GB2312" w:eastAsia="方正仿宋_GB2312" w:cs="方正仿宋_GB2312"/>
                <w:b/>
                <w:bCs/>
                <w:i w:val="0"/>
                <w:iCs w:val="0"/>
                <w:color w:val="000000"/>
                <w:kern w:val="0"/>
                <w:sz w:val="21"/>
                <w:szCs w:val="21"/>
                <w:highlight w:val="none"/>
                <w:u w:val="none"/>
                <w:lang w:val="en-US" w:eastAsia="zh-CN" w:bidi="ar"/>
              </w:rPr>
              <w:t>审计工作质量</w:t>
            </w:r>
            <w:r>
              <w:rPr>
                <w:rFonts w:hint="eastAsia" w:ascii="方正仿宋_GB2312" w:hAnsi="方正仿宋_GB2312" w:eastAsia="方正仿宋_GB2312" w:cs="方正仿宋_GB2312"/>
                <w:b/>
                <w:bCs/>
                <w:i w:val="0"/>
                <w:iCs w:val="0"/>
                <w:color w:val="000000"/>
                <w:kern w:val="0"/>
                <w:sz w:val="21"/>
                <w:szCs w:val="21"/>
                <w:highlight w:val="none"/>
                <w:u w:val="none"/>
                <w:lang w:val="en-US" w:eastAsia="zh-CN" w:bidi="ar"/>
              </w:rPr>
              <w:br w:type="textWrapping"/>
            </w:r>
            <w:r>
              <w:rPr>
                <w:rFonts w:hint="eastAsia" w:ascii="方正仿宋_GB2312" w:hAnsi="方正仿宋_GB2312" w:eastAsia="方正仿宋_GB2312" w:cs="方正仿宋_GB2312"/>
                <w:b/>
                <w:bCs/>
                <w:i w:val="0"/>
                <w:iCs w:val="0"/>
                <w:color w:val="000000"/>
                <w:kern w:val="0"/>
                <w:sz w:val="21"/>
                <w:szCs w:val="21"/>
                <w:highlight w:val="none"/>
                <w:u w:val="none"/>
                <w:lang w:val="en-US" w:eastAsia="zh-CN" w:bidi="ar"/>
              </w:rPr>
              <w:t>50分</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A0106">
            <w:pPr>
              <w:keepNext w:val="0"/>
              <w:keepLines w:val="0"/>
              <w:widowControl/>
              <w:suppressLineNumbers w:val="0"/>
              <w:spacing w:line="240" w:lineRule="auto"/>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审计结论的准确性</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B54A3">
            <w:pPr>
              <w:keepNext w:val="0"/>
              <w:keepLines w:val="0"/>
              <w:widowControl/>
              <w:suppressLineNumbers w:val="0"/>
              <w:spacing w:line="240" w:lineRule="auto"/>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20分</w:t>
            </w:r>
          </w:p>
        </w:tc>
        <w:tc>
          <w:tcPr>
            <w:tcW w:w="5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673C4">
            <w:pPr>
              <w:keepNext w:val="0"/>
              <w:keepLines w:val="0"/>
              <w:widowControl/>
              <w:suppressLineNumbers w:val="0"/>
              <w:spacing w:line="240" w:lineRule="auto"/>
              <w:jc w:val="left"/>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1. 审计发现的问题真实存在，定性准确，符合相关法律法规及我方制度要求，得10分；问题定性错误、遗漏重大问题，每次扣5分，扣完为止。</w:t>
            </w: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2. 审计结论逻辑清晰、依据充分，无歧义，得10分；结论模糊、依据不足，每次扣5分，扣完为止。</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7193C">
            <w:pPr>
              <w:spacing w:line="240" w:lineRule="auto"/>
              <w:rPr>
                <w:rFonts w:hint="eastAsia" w:ascii="宋体" w:hAnsi="宋体" w:eastAsia="宋体" w:cs="宋体"/>
                <w:i w:val="0"/>
                <w:iCs w:val="0"/>
                <w:color w:val="000000"/>
                <w:sz w:val="21"/>
                <w:szCs w:val="21"/>
                <w:highlight w:val="none"/>
                <w:u w:val="none"/>
              </w:rPr>
            </w:pPr>
          </w:p>
        </w:tc>
      </w:tr>
      <w:tr w14:paraId="7A1C5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6" w:hRule="atLeast"/>
        </w:trPr>
        <w:tc>
          <w:tcPr>
            <w:tcW w:w="986" w:type="dxa"/>
            <w:vMerge w:val="continue"/>
            <w:tcBorders>
              <w:top w:val="single" w:color="000000" w:sz="4" w:space="0"/>
              <w:left w:val="single" w:color="000000" w:sz="4" w:space="0"/>
              <w:bottom w:val="nil"/>
              <w:right w:val="single" w:color="000000" w:sz="4" w:space="0"/>
            </w:tcBorders>
            <w:shd w:val="clear" w:color="auto" w:fill="auto"/>
            <w:vAlign w:val="center"/>
          </w:tcPr>
          <w:p w14:paraId="7DCE455B">
            <w:pPr>
              <w:spacing w:line="240" w:lineRule="auto"/>
              <w:jc w:val="center"/>
              <w:rPr>
                <w:rFonts w:hint="eastAsia" w:ascii="方正仿宋_GB2312" w:hAnsi="方正仿宋_GB2312" w:eastAsia="方正仿宋_GB2312" w:cs="方正仿宋_GB2312"/>
                <w:b/>
                <w:bCs/>
                <w:i w:val="0"/>
                <w:iCs w:val="0"/>
                <w:color w:val="000000"/>
                <w:sz w:val="21"/>
                <w:szCs w:val="21"/>
                <w:highlight w:val="none"/>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D227">
            <w:pPr>
              <w:keepNext w:val="0"/>
              <w:keepLines w:val="0"/>
              <w:widowControl/>
              <w:suppressLineNumbers w:val="0"/>
              <w:spacing w:line="240" w:lineRule="auto"/>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审计报告质量</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292EC">
            <w:pPr>
              <w:keepNext w:val="0"/>
              <w:keepLines w:val="0"/>
              <w:widowControl/>
              <w:suppressLineNumbers w:val="0"/>
              <w:spacing w:line="240" w:lineRule="auto"/>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15分</w:t>
            </w:r>
          </w:p>
        </w:tc>
        <w:tc>
          <w:tcPr>
            <w:tcW w:w="5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47028">
            <w:pPr>
              <w:keepNext w:val="0"/>
              <w:keepLines w:val="0"/>
              <w:widowControl/>
              <w:suppressLineNumbers w:val="0"/>
              <w:spacing w:line="240" w:lineRule="auto"/>
              <w:jc w:val="left"/>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1. 审计报告格式规范、内容完整，涵盖审计概况、发现问题、原因分析、整改建议等核心内容，得4分；格式不规范、内容缺失，每处扣1分，扣完为止。</w:t>
            </w: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2. 报告语言简洁、专业，表述准确，无错别字、语病，得4分；语言不专业、表述错误，每处扣1分，扣完为止。</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7B91E">
            <w:pPr>
              <w:spacing w:line="240" w:lineRule="auto"/>
              <w:rPr>
                <w:rFonts w:hint="eastAsia" w:ascii="宋体" w:hAnsi="宋体" w:eastAsia="宋体" w:cs="宋体"/>
                <w:i w:val="0"/>
                <w:iCs w:val="0"/>
                <w:color w:val="000000"/>
                <w:sz w:val="21"/>
                <w:szCs w:val="21"/>
                <w:highlight w:val="none"/>
                <w:u w:val="none"/>
              </w:rPr>
            </w:pPr>
          </w:p>
        </w:tc>
      </w:tr>
      <w:tr w14:paraId="0273D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986" w:type="dxa"/>
            <w:vMerge w:val="continue"/>
            <w:tcBorders>
              <w:top w:val="single" w:color="000000" w:sz="4" w:space="0"/>
              <w:left w:val="single" w:color="000000" w:sz="4" w:space="0"/>
              <w:bottom w:val="nil"/>
              <w:right w:val="single" w:color="000000" w:sz="4" w:space="0"/>
            </w:tcBorders>
            <w:shd w:val="clear" w:color="auto" w:fill="auto"/>
            <w:vAlign w:val="center"/>
          </w:tcPr>
          <w:p w14:paraId="2E2FAB24">
            <w:pPr>
              <w:spacing w:line="240" w:lineRule="auto"/>
              <w:jc w:val="center"/>
              <w:rPr>
                <w:rFonts w:hint="eastAsia" w:ascii="方正仿宋_GB2312" w:hAnsi="方正仿宋_GB2312" w:eastAsia="方正仿宋_GB2312" w:cs="方正仿宋_GB2312"/>
                <w:b/>
                <w:bCs/>
                <w:i w:val="0"/>
                <w:iCs w:val="0"/>
                <w:color w:val="000000"/>
                <w:sz w:val="21"/>
                <w:szCs w:val="21"/>
                <w:highlight w:val="none"/>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A6FD2">
            <w:pPr>
              <w:keepNext w:val="0"/>
              <w:keepLines w:val="0"/>
              <w:widowControl/>
              <w:suppressLineNumbers w:val="0"/>
              <w:spacing w:line="240" w:lineRule="auto"/>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审计证据的充分性、相关性</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3B82D">
            <w:pPr>
              <w:keepNext w:val="0"/>
              <w:keepLines w:val="0"/>
              <w:widowControl/>
              <w:suppressLineNumbers w:val="0"/>
              <w:spacing w:line="240" w:lineRule="auto"/>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10分</w:t>
            </w:r>
          </w:p>
        </w:tc>
        <w:tc>
          <w:tcPr>
            <w:tcW w:w="5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F8FAD">
            <w:pPr>
              <w:keepNext w:val="0"/>
              <w:keepLines w:val="0"/>
              <w:widowControl/>
              <w:suppressLineNumbers w:val="0"/>
              <w:spacing w:line="240" w:lineRule="auto"/>
              <w:jc w:val="left"/>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审计证据真实、完整，能有效支撑审计结论，与审计事项高度相关，得10分；证据缺失、虚假或与审计事项无关，每发现一处扣2分，扣完为止。</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73646">
            <w:pPr>
              <w:spacing w:line="240" w:lineRule="auto"/>
              <w:rPr>
                <w:rFonts w:hint="eastAsia" w:ascii="宋体" w:hAnsi="宋体" w:eastAsia="宋体" w:cs="宋体"/>
                <w:i w:val="0"/>
                <w:iCs w:val="0"/>
                <w:color w:val="000000"/>
                <w:sz w:val="21"/>
                <w:szCs w:val="21"/>
                <w:highlight w:val="none"/>
                <w:u w:val="none"/>
              </w:rPr>
            </w:pPr>
          </w:p>
        </w:tc>
      </w:tr>
      <w:tr w14:paraId="07792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86" w:type="dxa"/>
            <w:vMerge w:val="continue"/>
            <w:tcBorders>
              <w:top w:val="single" w:color="000000" w:sz="4" w:space="0"/>
              <w:left w:val="single" w:color="000000" w:sz="4" w:space="0"/>
              <w:bottom w:val="nil"/>
              <w:right w:val="single" w:color="000000" w:sz="4" w:space="0"/>
            </w:tcBorders>
            <w:shd w:val="clear" w:color="auto" w:fill="auto"/>
            <w:vAlign w:val="center"/>
          </w:tcPr>
          <w:p w14:paraId="3966C858">
            <w:pPr>
              <w:spacing w:line="240" w:lineRule="auto"/>
              <w:jc w:val="center"/>
              <w:rPr>
                <w:rFonts w:hint="eastAsia" w:ascii="方正仿宋_GB2312" w:hAnsi="方正仿宋_GB2312" w:eastAsia="方正仿宋_GB2312" w:cs="方正仿宋_GB2312"/>
                <w:b/>
                <w:bCs/>
                <w:i w:val="0"/>
                <w:iCs w:val="0"/>
                <w:color w:val="000000"/>
                <w:sz w:val="21"/>
                <w:szCs w:val="21"/>
                <w:highlight w:val="none"/>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0EB7">
            <w:pPr>
              <w:keepNext w:val="0"/>
              <w:keepLines w:val="0"/>
              <w:widowControl/>
              <w:suppressLineNumbers w:val="0"/>
              <w:spacing w:line="240" w:lineRule="auto"/>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整改建议的可行性</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02118">
            <w:pPr>
              <w:keepNext w:val="0"/>
              <w:keepLines w:val="0"/>
              <w:widowControl/>
              <w:suppressLineNumbers w:val="0"/>
              <w:spacing w:line="240" w:lineRule="auto"/>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5分</w:t>
            </w:r>
          </w:p>
        </w:tc>
        <w:tc>
          <w:tcPr>
            <w:tcW w:w="5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9459F">
            <w:pPr>
              <w:keepNext w:val="0"/>
              <w:keepLines w:val="0"/>
              <w:widowControl/>
              <w:suppressLineNumbers w:val="0"/>
              <w:spacing w:line="240" w:lineRule="auto"/>
              <w:jc w:val="left"/>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针对审计发现的问题，提出的整改建议具体、可落地，贴合我方实际，得5分；建议空泛、不可行，每条扣1分，扣完为止。</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BFF6B">
            <w:pPr>
              <w:spacing w:line="240" w:lineRule="auto"/>
              <w:rPr>
                <w:rFonts w:hint="eastAsia" w:ascii="宋体" w:hAnsi="宋体" w:eastAsia="宋体" w:cs="宋体"/>
                <w:i w:val="0"/>
                <w:iCs w:val="0"/>
                <w:color w:val="000000"/>
                <w:sz w:val="21"/>
                <w:szCs w:val="21"/>
                <w:highlight w:val="none"/>
                <w:u w:val="none"/>
              </w:rPr>
            </w:pPr>
          </w:p>
        </w:tc>
      </w:tr>
      <w:tr w14:paraId="26C5B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5" w:hRule="atLeast"/>
        </w:trPr>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829DCD">
            <w:pPr>
              <w:keepNext w:val="0"/>
              <w:keepLines w:val="0"/>
              <w:widowControl/>
              <w:suppressLineNumbers w:val="0"/>
              <w:spacing w:line="240" w:lineRule="auto"/>
              <w:jc w:val="center"/>
              <w:textAlignment w:val="center"/>
              <w:rPr>
                <w:rFonts w:hint="eastAsia" w:ascii="方正仿宋_GB2312" w:hAnsi="方正仿宋_GB2312" w:eastAsia="方正仿宋_GB2312" w:cs="方正仿宋_GB2312"/>
                <w:b/>
                <w:bCs/>
                <w:i w:val="0"/>
                <w:iCs w:val="0"/>
                <w:color w:val="000000"/>
                <w:sz w:val="21"/>
                <w:szCs w:val="21"/>
                <w:highlight w:val="none"/>
                <w:u w:val="none"/>
              </w:rPr>
            </w:pPr>
            <w:r>
              <w:rPr>
                <w:rFonts w:hint="eastAsia" w:ascii="方正仿宋_GB2312" w:hAnsi="方正仿宋_GB2312" w:eastAsia="方正仿宋_GB2312" w:cs="方正仿宋_GB2312"/>
                <w:b/>
                <w:bCs/>
                <w:i w:val="0"/>
                <w:iCs w:val="0"/>
                <w:color w:val="000000"/>
                <w:kern w:val="0"/>
                <w:sz w:val="21"/>
                <w:szCs w:val="21"/>
                <w:highlight w:val="none"/>
                <w:u w:val="none"/>
                <w:lang w:val="en-US" w:eastAsia="zh-CN" w:bidi="ar"/>
              </w:rPr>
              <w:t>审计工作效率</w:t>
            </w:r>
            <w:r>
              <w:rPr>
                <w:rFonts w:hint="eastAsia" w:ascii="方正仿宋_GB2312" w:hAnsi="方正仿宋_GB2312" w:eastAsia="方正仿宋_GB2312" w:cs="方正仿宋_GB2312"/>
                <w:b/>
                <w:bCs/>
                <w:i w:val="0"/>
                <w:iCs w:val="0"/>
                <w:color w:val="000000"/>
                <w:kern w:val="0"/>
                <w:sz w:val="21"/>
                <w:szCs w:val="21"/>
                <w:highlight w:val="none"/>
                <w:u w:val="none"/>
                <w:lang w:val="en-US" w:eastAsia="zh-CN" w:bidi="ar"/>
              </w:rPr>
              <w:br w:type="textWrapping"/>
            </w:r>
            <w:r>
              <w:rPr>
                <w:rFonts w:hint="eastAsia" w:ascii="方正仿宋_GB2312" w:hAnsi="方正仿宋_GB2312" w:eastAsia="方正仿宋_GB2312" w:cs="方正仿宋_GB2312"/>
                <w:b/>
                <w:bCs/>
                <w:i w:val="0"/>
                <w:iCs w:val="0"/>
                <w:color w:val="000000"/>
                <w:kern w:val="0"/>
                <w:sz w:val="21"/>
                <w:szCs w:val="21"/>
                <w:highlight w:val="none"/>
                <w:u w:val="none"/>
                <w:lang w:val="en-US" w:eastAsia="zh-CN" w:bidi="ar"/>
              </w:rPr>
              <w:t>25分</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B736">
            <w:pPr>
              <w:keepNext w:val="0"/>
              <w:keepLines w:val="0"/>
              <w:widowControl/>
              <w:suppressLineNumbers w:val="0"/>
              <w:spacing w:line="240" w:lineRule="auto"/>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进度把控</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03F87">
            <w:pPr>
              <w:keepNext w:val="0"/>
              <w:keepLines w:val="0"/>
              <w:widowControl/>
              <w:suppressLineNumbers w:val="0"/>
              <w:spacing w:line="240" w:lineRule="auto"/>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10分</w:t>
            </w:r>
          </w:p>
        </w:tc>
        <w:tc>
          <w:tcPr>
            <w:tcW w:w="5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3E2B">
            <w:pPr>
              <w:keepNext w:val="0"/>
              <w:keepLines w:val="0"/>
              <w:widowControl/>
              <w:suppressLineNumbers w:val="0"/>
              <w:spacing w:line="240" w:lineRule="auto"/>
              <w:jc w:val="left"/>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1. 严格按照双方约定的审计计划、时间节点推进工作，按时完成审计任务，得10分；未按时完成，每逾期1个工作日扣2分，扣完为止。</w:t>
            </w: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2. 如需调整进度，提前3个工作日书面申请，经我方同意后调整，不扣分；未提前申请或擅自调整进度，每次扣5分，扣完为止。</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29966">
            <w:pPr>
              <w:spacing w:line="240" w:lineRule="auto"/>
              <w:rPr>
                <w:rFonts w:hint="eastAsia" w:ascii="宋体" w:hAnsi="宋体" w:eastAsia="宋体" w:cs="宋体"/>
                <w:i w:val="0"/>
                <w:iCs w:val="0"/>
                <w:color w:val="000000"/>
                <w:sz w:val="21"/>
                <w:szCs w:val="21"/>
                <w:highlight w:val="none"/>
                <w:u w:val="none"/>
              </w:rPr>
            </w:pPr>
          </w:p>
        </w:tc>
      </w:tr>
      <w:tr w14:paraId="5E126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7"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2E03A">
            <w:pPr>
              <w:spacing w:line="240" w:lineRule="auto"/>
              <w:jc w:val="center"/>
              <w:rPr>
                <w:rFonts w:hint="eastAsia" w:ascii="方正仿宋_GB2312" w:hAnsi="方正仿宋_GB2312" w:eastAsia="方正仿宋_GB2312" w:cs="方正仿宋_GB2312"/>
                <w:b/>
                <w:bCs/>
                <w:i w:val="0"/>
                <w:iCs w:val="0"/>
                <w:color w:val="000000"/>
                <w:sz w:val="21"/>
                <w:szCs w:val="21"/>
                <w:highlight w:val="none"/>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0B78A">
            <w:pPr>
              <w:keepNext w:val="0"/>
              <w:keepLines w:val="0"/>
              <w:widowControl/>
              <w:suppressLineNumbers w:val="0"/>
              <w:spacing w:line="240" w:lineRule="auto"/>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响应效率</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00B33">
            <w:pPr>
              <w:keepNext w:val="0"/>
              <w:keepLines w:val="0"/>
              <w:widowControl/>
              <w:suppressLineNumbers w:val="0"/>
              <w:spacing w:line="240" w:lineRule="auto"/>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10分</w:t>
            </w:r>
          </w:p>
        </w:tc>
        <w:tc>
          <w:tcPr>
            <w:tcW w:w="5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1FC2F">
            <w:pPr>
              <w:keepNext w:val="0"/>
              <w:keepLines w:val="0"/>
              <w:widowControl/>
              <w:suppressLineNumbers w:val="0"/>
              <w:spacing w:line="240" w:lineRule="auto"/>
              <w:jc w:val="left"/>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对甲方提出的疑问、需求（如补充审计资料、解释审计结论等），乙方需1-3个工作日内给出明确答复，得10分；响应不及时，每次扣1分；逾期未答复，每次扣2分，扣完为止。</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80179">
            <w:pPr>
              <w:spacing w:line="240" w:lineRule="auto"/>
              <w:rPr>
                <w:rFonts w:hint="eastAsia" w:ascii="宋体" w:hAnsi="宋体" w:eastAsia="宋体" w:cs="宋体"/>
                <w:i w:val="0"/>
                <w:iCs w:val="0"/>
                <w:color w:val="000000"/>
                <w:sz w:val="21"/>
                <w:szCs w:val="21"/>
                <w:highlight w:val="none"/>
                <w:u w:val="none"/>
              </w:rPr>
            </w:pPr>
          </w:p>
        </w:tc>
      </w:tr>
      <w:tr w14:paraId="59DF5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70363">
            <w:pPr>
              <w:spacing w:line="240" w:lineRule="auto"/>
              <w:jc w:val="center"/>
              <w:rPr>
                <w:rFonts w:hint="eastAsia" w:ascii="方正仿宋_GB2312" w:hAnsi="方正仿宋_GB2312" w:eastAsia="方正仿宋_GB2312" w:cs="方正仿宋_GB2312"/>
                <w:b/>
                <w:bCs/>
                <w:i w:val="0"/>
                <w:iCs w:val="0"/>
                <w:color w:val="000000"/>
                <w:sz w:val="21"/>
                <w:szCs w:val="21"/>
                <w:highlight w:val="none"/>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F695">
            <w:pPr>
              <w:keepNext w:val="0"/>
              <w:keepLines w:val="0"/>
              <w:widowControl/>
              <w:suppressLineNumbers w:val="0"/>
              <w:spacing w:line="240" w:lineRule="auto"/>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考勤</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10D7">
            <w:pPr>
              <w:keepNext w:val="0"/>
              <w:keepLines w:val="0"/>
              <w:widowControl/>
              <w:suppressLineNumbers w:val="0"/>
              <w:spacing w:line="240" w:lineRule="auto"/>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5分</w:t>
            </w:r>
          </w:p>
        </w:tc>
        <w:tc>
          <w:tcPr>
            <w:tcW w:w="5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D5DF6">
            <w:pPr>
              <w:keepNext w:val="0"/>
              <w:keepLines w:val="0"/>
              <w:widowControl/>
              <w:suppressLineNumbers w:val="0"/>
              <w:spacing w:line="240" w:lineRule="auto"/>
              <w:jc w:val="left"/>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按时参加相关工作会议并出席现场项目审计得5分，出现项目组成员迟到、缺勤等现象，每次扣1人/次，扣完为止。</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07371">
            <w:pPr>
              <w:spacing w:line="240" w:lineRule="auto"/>
              <w:rPr>
                <w:rFonts w:hint="eastAsia" w:ascii="宋体" w:hAnsi="宋体" w:eastAsia="宋体" w:cs="宋体"/>
                <w:i w:val="0"/>
                <w:iCs w:val="0"/>
                <w:color w:val="000000"/>
                <w:sz w:val="21"/>
                <w:szCs w:val="21"/>
                <w:highlight w:val="none"/>
                <w:u w:val="none"/>
              </w:rPr>
            </w:pPr>
          </w:p>
        </w:tc>
      </w:tr>
      <w:tr w14:paraId="68747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9" w:hRule="atLeast"/>
        </w:trPr>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9E4B46">
            <w:pPr>
              <w:keepNext w:val="0"/>
              <w:keepLines w:val="0"/>
              <w:widowControl/>
              <w:suppressLineNumbers w:val="0"/>
              <w:spacing w:line="240" w:lineRule="auto"/>
              <w:jc w:val="center"/>
              <w:textAlignment w:val="center"/>
              <w:rPr>
                <w:rFonts w:hint="eastAsia" w:ascii="方正仿宋_GB2312" w:hAnsi="方正仿宋_GB2312" w:eastAsia="方正仿宋_GB2312" w:cs="方正仿宋_GB2312"/>
                <w:b/>
                <w:bCs/>
                <w:i w:val="0"/>
                <w:iCs w:val="0"/>
                <w:color w:val="000000"/>
                <w:sz w:val="21"/>
                <w:szCs w:val="21"/>
                <w:highlight w:val="none"/>
                <w:u w:val="none"/>
              </w:rPr>
            </w:pPr>
            <w:r>
              <w:rPr>
                <w:rFonts w:hint="eastAsia" w:ascii="方正仿宋_GB2312" w:hAnsi="方正仿宋_GB2312" w:eastAsia="方正仿宋_GB2312" w:cs="方正仿宋_GB2312"/>
                <w:b/>
                <w:bCs/>
                <w:i w:val="0"/>
                <w:iCs w:val="0"/>
                <w:color w:val="000000"/>
                <w:kern w:val="0"/>
                <w:sz w:val="21"/>
                <w:szCs w:val="21"/>
                <w:highlight w:val="none"/>
                <w:u w:val="none"/>
                <w:lang w:val="en-US" w:eastAsia="zh-CN" w:bidi="ar"/>
              </w:rPr>
              <w:t>服务配合度10分</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DB9F5">
            <w:pPr>
              <w:keepNext w:val="0"/>
              <w:keepLines w:val="0"/>
              <w:widowControl/>
              <w:suppressLineNumbers w:val="0"/>
              <w:spacing w:line="240" w:lineRule="auto"/>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材料交接</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2B713">
            <w:pPr>
              <w:keepNext w:val="0"/>
              <w:keepLines w:val="0"/>
              <w:widowControl/>
              <w:suppressLineNumbers w:val="0"/>
              <w:spacing w:line="240" w:lineRule="auto"/>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5分</w:t>
            </w:r>
          </w:p>
        </w:tc>
        <w:tc>
          <w:tcPr>
            <w:tcW w:w="5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4866">
            <w:pPr>
              <w:keepNext w:val="0"/>
              <w:keepLines w:val="0"/>
              <w:widowControl/>
              <w:suppressLineNumbers w:val="0"/>
              <w:spacing w:line="240" w:lineRule="auto"/>
              <w:jc w:val="left"/>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乙方应如实完整地将项目审计形成的全部纸质签字齐全的资料原件和电子资料整理归档，便于复核审查，得5分；因乙方原因造成相关佐证资料遗失或丢失的，每发现一项扣1分，扣完为止。</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A85AC">
            <w:pPr>
              <w:spacing w:line="240" w:lineRule="auto"/>
              <w:rPr>
                <w:rFonts w:hint="eastAsia" w:ascii="宋体" w:hAnsi="宋体" w:eastAsia="宋体" w:cs="宋体"/>
                <w:i w:val="0"/>
                <w:iCs w:val="0"/>
                <w:color w:val="000000"/>
                <w:sz w:val="21"/>
                <w:szCs w:val="21"/>
                <w:highlight w:val="none"/>
                <w:u w:val="none"/>
              </w:rPr>
            </w:pPr>
          </w:p>
        </w:tc>
      </w:tr>
      <w:tr w14:paraId="72A4B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9"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910B9">
            <w:pPr>
              <w:spacing w:line="240" w:lineRule="auto"/>
              <w:jc w:val="center"/>
              <w:rPr>
                <w:rFonts w:hint="eastAsia" w:ascii="方正仿宋_GB2312" w:hAnsi="方正仿宋_GB2312" w:eastAsia="方正仿宋_GB2312" w:cs="方正仿宋_GB2312"/>
                <w:b/>
                <w:bCs/>
                <w:i w:val="0"/>
                <w:iCs w:val="0"/>
                <w:color w:val="000000"/>
                <w:sz w:val="21"/>
                <w:szCs w:val="21"/>
                <w:highlight w:val="none"/>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E0794">
            <w:pPr>
              <w:keepNext w:val="0"/>
              <w:keepLines w:val="0"/>
              <w:widowControl/>
              <w:suppressLineNumbers w:val="0"/>
              <w:spacing w:line="240" w:lineRule="auto"/>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配合整改</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A1A3">
            <w:pPr>
              <w:keepNext w:val="0"/>
              <w:keepLines w:val="0"/>
              <w:widowControl/>
              <w:suppressLineNumbers w:val="0"/>
              <w:spacing w:line="240" w:lineRule="auto"/>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5分</w:t>
            </w:r>
          </w:p>
        </w:tc>
        <w:tc>
          <w:tcPr>
            <w:tcW w:w="5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FACDA">
            <w:pPr>
              <w:keepNext w:val="0"/>
              <w:keepLines w:val="0"/>
              <w:widowControl/>
              <w:suppressLineNumbers w:val="0"/>
              <w:spacing w:line="240" w:lineRule="auto"/>
              <w:jc w:val="left"/>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对甲方提出的审计报告修改意见、整改要求，积极配合，及时完善、反馈，得5分；拒不配合、拖延整改，每次扣1分，扣完为止。</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E2F85">
            <w:pPr>
              <w:spacing w:line="240" w:lineRule="auto"/>
              <w:rPr>
                <w:rFonts w:hint="eastAsia" w:ascii="宋体" w:hAnsi="宋体" w:eastAsia="宋体" w:cs="宋体"/>
                <w:i w:val="0"/>
                <w:iCs w:val="0"/>
                <w:color w:val="000000"/>
                <w:sz w:val="21"/>
                <w:szCs w:val="21"/>
                <w:highlight w:val="none"/>
                <w:u w:val="none"/>
              </w:rPr>
            </w:pPr>
          </w:p>
        </w:tc>
      </w:tr>
      <w:tr w14:paraId="3FE6C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7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19BC17">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总分</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F3974">
            <w:pPr>
              <w:spacing w:line="240" w:lineRule="auto"/>
              <w:rPr>
                <w:rFonts w:hint="eastAsia" w:ascii="宋体" w:hAnsi="宋体" w:eastAsia="宋体" w:cs="宋体"/>
                <w:b/>
                <w:bCs/>
                <w:i w:val="0"/>
                <w:iCs w:val="0"/>
                <w:color w:val="000000"/>
                <w:sz w:val="21"/>
                <w:szCs w:val="21"/>
                <w:highlight w:val="none"/>
                <w:u w:val="none"/>
              </w:rPr>
            </w:pPr>
          </w:p>
        </w:tc>
      </w:tr>
      <w:tr w14:paraId="1CF8A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trPr>
        <w:tc>
          <w:tcPr>
            <w:tcW w:w="86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5F5E65">
            <w:pPr>
              <w:keepNext w:val="0"/>
              <w:keepLines w:val="0"/>
              <w:widowControl/>
              <w:suppressLineNumbers w:val="0"/>
              <w:spacing w:line="240" w:lineRule="auto"/>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b/>
                <w:bCs/>
                <w:i w:val="0"/>
                <w:iCs w:val="0"/>
                <w:color w:val="000000"/>
                <w:kern w:val="0"/>
                <w:sz w:val="21"/>
                <w:szCs w:val="21"/>
                <w:highlight w:val="none"/>
                <w:u w:val="none"/>
                <w:lang w:val="en-US" w:eastAsia="zh-CN" w:bidi="ar"/>
              </w:rPr>
              <w:t>备注：考核总分结果80分（含）以上合格，80分以下为不合格</w:t>
            </w:r>
          </w:p>
        </w:tc>
      </w:tr>
    </w:tbl>
    <w:p w14:paraId="56E91FCA">
      <w:pPr>
        <w:pStyle w:val="2"/>
        <w:pageBreakBefore/>
        <w:spacing w:before="240" w:after="120" w:line="500" w:lineRule="exact"/>
        <w:ind w:firstLine="2209" w:firstLineChars="500"/>
        <w:jc w:val="both"/>
        <w:rPr>
          <w:rFonts w:ascii="仿宋" w:hAnsi="仿宋" w:eastAsia="仿宋" w:cs="仿宋"/>
          <w:b/>
          <w:highlight w:val="none"/>
        </w:rPr>
      </w:pPr>
      <w:r>
        <w:rPr>
          <w:rFonts w:hint="eastAsia" w:ascii="仿宋" w:hAnsi="仿宋" w:eastAsia="仿宋" w:cs="仿宋"/>
          <w:b/>
          <w:highlight w:val="none"/>
        </w:rPr>
        <w:t>第六章 评审办法</w:t>
      </w:r>
      <w:bookmarkEnd w:id="72"/>
    </w:p>
    <w:p w14:paraId="08E15841">
      <w:pPr>
        <w:pStyle w:val="3"/>
        <w:ind w:firstLine="482"/>
        <w:rPr>
          <w:rFonts w:ascii="仿宋" w:hAnsi="仿宋" w:eastAsia="仿宋" w:cs="仿宋"/>
          <w:sz w:val="24"/>
          <w:szCs w:val="24"/>
          <w:highlight w:val="none"/>
        </w:rPr>
      </w:pPr>
      <w:bookmarkStart w:id="75" w:name="_Toc449705547"/>
      <w:bookmarkStart w:id="76" w:name="_Toc449705608"/>
      <w:r>
        <w:rPr>
          <w:rFonts w:hint="eastAsia" w:ascii="仿宋" w:hAnsi="仿宋" w:eastAsia="仿宋" w:cs="仿宋"/>
          <w:sz w:val="24"/>
          <w:szCs w:val="24"/>
          <w:highlight w:val="none"/>
        </w:rPr>
        <w:t>1. 总则</w:t>
      </w:r>
      <w:bookmarkEnd w:id="75"/>
      <w:bookmarkEnd w:id="76"/>
    </w:p>
    <w:p w14:paraId="63CE6E08">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1.1 参照《中华人民共和国政府采购法》及其实施条例等法律规章，结合采购项目特点制定本评审办法。</w:t>
      </w:r>
    </w:p>
    <w:p w14:paraId="78E8191E">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1.2 </w:t>
      </w:r>
      <w:r>
        <w:rPr>
          <w:rFonts w:hint="eastAsia" w:ascii="仿宋" w:hAnsi="仿宋" w:eastAsia="仿宋" w:cs="仿宋"/>
          <w:bCs/>
          <w:sz w:val="24"/>
          <w:highlight w:val="none"/>
        </w:rPr>
        <w:t>评审工作由四川商务职业学院采购与招标管理中心负责组织，具体评审事务由依法组建的比选小组负责。比选小组由采购人代表和有关技术、经济等方面的专家组成。</w:t>
      </w:r>
    </w:p>
    <w:p w14:paraId="14C8786C">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1.3 评审工作应遵循公平、公正、科学及择优的原则，并以相同的评审程序和标准对待所有的比选申请人。</w:t>
      </w:r>
    </w:p>
    <w:p w14:paraId="6039ABDA">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1.4 比选小组按照邀请比选文件规定的评审方法和标准进行评审，并独立履行下列职责：</w:t>
      </w:r>
    </w:p>
    <w:p w14:paraId="1CCB7E11">
      <w:pPr>
        <w:spacing w:line="360" w:lineRule="auto"/>
        <w:ind w:firstLine="480"/>
        <w:rPr>
          <w:rFonts w:ascii="仿宋" w:hAnsi="仿宋" w:eastAsia="仿宋" w:cs="仿宋"/>
          <w:sz w:val="24"/>
          <w:highlight w:val="none"/>
        </w:rPr>
      </w:pPr>
      <w:r>
        <w:rPr>
          <w:rFonts w:hint="eastAsia" w:ascii="仿宋" w:hAnsi="仿宋" w:eastAsia="仿宋" w:cs="仿宋"/>
          <w:sz w:val="24"/>
          <w:highlight w:val="none"/>
        </w:rPr>
        <w:t>（1）审查响应文件是否符合邀请比选文件要求，并作出评价；</w:t>
      </w:r>
    </w:p>
    <w:p w14:paraId="51596153">
      <w:pPr>
        <w:spacing w:line="360" w:lineRule="auto"/>
        <w:ind w:firstLine="480"/>
        <w:rPr>
          <w:rFonts w:ascii="仿宋" w:hAnsi="仿宋" w:eastAsia="仿宋" w:cs="仿宋"/>
          <w:sz w:val="24"/>
          <w:highlight w:val="none"/>
        </w:rPr>
      </w:pPr>
      <w:r>
        <w:rPr>
          <w:rFonts w:hint="eastAsia" w:ascii="仿宋" w:hAnsi="仿宋" w:eastAsia="仿宋" w:cs="仿宋"/>
          <w:sz w:val="24"/>
          <w:highlight w:val="none"/>
        </w:rPr>
        <w:t>（2）要求比选申请人对响应文件有关事项作出解释或者澄清；</w:t>
      </w:r>
    </w:p>
    <w:p w14:paraId="102831B7">
      <w:pPr>
        <w:spacing w:line="360" w:lineRule="auto"/>
        <w:ind w:firstLine="480"/>
        <w:rPr>
          <w:rFonts w:ascii="仿宋" w:hAnsi="仿宋" w:eastAsia="仿宋" w:cs="仿宋"/>
          <w:sz w:val="24"/>
          <w:highlight w:val="none"/>
        </w:rPr>
      </w:pPr>
      <w:r>
        <w:rPr>
          <w:rFonts w:hint="eastAsia" w:ascii="仿宋" w:hAnsi="仿宋" w:eastAsia="仿宋" w:cs="仿宋"/>
          <w:sz w:val="24"/>
          <w:highlight w:val="none"/>
        </w:rPr>
        <w:t>（3）推荐中选候选比选申请人名单，或者受采购人委托按照事先确定的办法直接确定中选人；</w:t>
      </w:r>
    </w:p>
    <w:p w14:paraId="539524B8">
      <w:pPr>
        <w:spacing w:line="360" w:lineRule="auto"/>
        <w:ind w:firstLine="480"/>
        <w:rPr>
          <w:rFonts w:ascii="仿宋" w:hAnsi="仿宋" w:eastAsia="仿宋" w:cs="仿宋"/>
          <w:sz w:val="24"/>
          <w:highlight w:val="none"/>
        </w:rPr>
      </w:pPr>
      <w:r>
        <w:rPr>
          <w:rFonts w:hint="eastAsia" w:ascii="仿宋" w:hAnsi="仿宋" w:eastAsia="仿宋" w:cs="仿宋"/>
          <w:sz w:val="24"/>
          <w:highlight w:val="none"/>
        </w:rPr>
        <w:t>（4）向采购单位或者有关部门报告非法干预评审工作的行为。</w:t>
      </w:r>
      <w:bookmarkStart w:id="77" w:name="_Toc217446098"/>
    </w:p>
    <w:p w14:paraId="2A4989E4">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1.5 评审过程严格保密。比选申请人对比选小组的评审过程或合同授予决定施加影响的任何行为都可能导致其比选被拒绝。</w:t>
      </w:r>
    </w:p>
    <w:p w14:paraId="73F0C27D">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1.6比选小组决定响应文件的响应性依据响应文件本身的内容，而不寻求外部的证据。</w:t>
      </w:r>
    </w:p>
    <w:p w14:paraId="4DAEE20F">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1.7比选小组发现邀请比选文件表述不明确或需要说明的事项，可提请采购单位书面解释说明。发现邀请比选文件违反有关法律、法规和规章的，可以拒绝评审，并向采购单位书面说明情况。</w:t>
      </w:r>
    </w:p>
    <w:p w14:paraId="3BCFEBF3">
      <w:pPr>
        <w:pStyle w:val="3"/>
        <w:ind w:firstLine="482"/>
        <w:rPr>
          <w:rFonts w:ascii="仿宋" w:hAnsi="仿宋" w:eastAsia="仿宋" w:cs="仿宋"/>
          <w:sz w:val="24"/>
          <w:szCs w:val="24"/>
          <w:highlight w:val="none"/>
        </w:rPr>
      </w:pPr>
      <w:bookmarkStart w:id="78" w:name="_Toc449705609"/>
      <w:bookmarkStart w:id="79" w:name="_Toc449705548"/>
      <w:r>
        <w:rPr>
          <w:rFonts w:hint="eastAsia" w:ascii="仿宋" w:hAnsi="仿宋" w:eastAsia="仿宋" w:cs="仿宋"/>
          <w:sz w:val="24"/>
          <w:szCs w:val="24"/>
          <w:highlight w:val="none"/>
        </w:rPr>
        <w:t>2. 评审方法</w:t>
      </w:r>
      <w:bookmarkEnd w:id="78"/>
      <w:bookmarkEnd w:id="79"/>
    </w:p>
    <w:p w14:paraId="7D439084">
      <w:pPr>
        <w:spacing w:line="360" w:lineRule="auto"/>
        <w:ind w:firstLine="480" w:firstLineChars="200"/>
        <w:rPr>
          <w:rFonts w:ascii="仿宋" w:hAnsi="仿宋" w:eastAsia="仿宋" w:cs="仿宋"/>
          <w:sz w:val="24"/>
          <w:szCs w:val="22"/>
          <w:highlight w:val="none"/>
        </w:rPr>
      </w:pPr>
      <w:r>
        <w:rPr>
          <w:rFonts w:hint="eastAsia" w:ascii="仿宋" w:hAnsi="仿宋" w:eastAsia="仿宋" w:cs="仿宋"/>
          <w:sz w:val="24"/>
          <w:szCs w:val="22"/>
          <w:highlight w:val="none"/>
        </w:rPr>
        <w:t>本项目评审方法为：综合评分法。</w:t>
      </w:r>
      <w:bookmarkEnd w:id="77"/>
    </w:p>
    <w:p w14:paraId="4D7B1A13">
      <w:pPr>
        <w:pStyle w:val="3"/>
        <w:ind w:firstLine="482"/>
        <w:rPr>
          <w:rFonts w:ascii="仿宋" w:hAnsi="仿宋" w:eastAsia="仿宋" w:cs="仿宋"/>
          <w:sz w:val="24"/>
          <w:szCs w:val="24"/>
          <w:highlight w:val="none"/>
        </w:rPr>
      </w:pPr>
      <w:bookmarkStart w:id="80" w:name="_Toc217446103"/>
      <w:bookmarkStart w:id="81" w:name="_Toc449705610"/>
      <w:bookmarkStart w:id="82" w:name="_Toc449705549"/>
      <w:r>
        <w:rPr>
          <w:rFonts w:hint="eastAsia" w:ascii="仿宋" w:hAnsi="仿宋" w:eastAsia="仿宋" w:cs="仿宋"/>
          <w:sz w:val="24"/>
          <w:szCs w:val="24"/>
          <w:highlight w:val="none"/>
        </w:rPr>
        <w:t>3. 评审细则及标准</w:t>
      </w:r>
      <w:bookmarkEnd w:id="80"/>
      <w:bookmarkEnd w:id="81"/>
      <w:bookmarkEnd w:id="82"/>
    </w:p>
    <w:p w14:paraId="519C7C99">
      <w:pPr>
        <w:spacing w:line="360" w:lineRule="auto"/>
        <w:ind w:firstLine="480"/>
        <w:rPr>
          <w:rFonts w:ascii="仿宋" w:hAnsi="仿宋" w:eastAsia="仿宋" w:cs="仿宋"/>
          <w:sz w:val="24"/>
          <w:highlight w:val="none"/>
        </w:rPr>
      </w:pPr>
      <w:r>
        <w:rPr>
          <w:rFonts w:hint="eastAsia" w:ascii="仿宋" w:hAnsi="仿宋" w:eastAsia="仿宋" w:cs="仿宋"/>
          <w:sz w:val="24"/>
          <w:highlight w:val="none"/>
        </w:rPr>
        <w:t>3.1 比选小组只对通过初审的响应文件，根据邀请比选文件的要求采用相同的评审程序、评分办法及标准进行评价和比较。</w:t>
      </w:r>
    </w:p>
    <w:p w14:paraId="33D2D784">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3.2 除价格因素外，比选小组成员应依据响应文件规定的评分标准和方法独立对其他因素进行比较打分。</w:t>
      </w:r>
    </w:p>
    <w:p w14:paraId="48222F2B">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3.3 在评审过程中，响应文件有下列情况之一，比选小组成员应当按照邀请比选文件规定的非实质性偏离进行扣分。</w:t>
      </w:r>
    </w:p>
    <w:p w14:paraId="683685C9">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文字表述的内容含义不明确，或者同类问题表述不一致，或者有明显文字和计算错误，或者提供的技术信息和数据资料不完整，比选申请人拒不或在规定的时间内没有进行澄清、说明或补正或澄清、说明、补正的内容也不能说明问题的；</w:t>
      </w:r>
    </w:p>
    <w:p w14:paraId="29A950F5">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（2）响应文件未按比选文件要求进行装订或未编制目录、页码；</w:t>
      </w:r>
    </w:p>
    <w:p w14:paraId="73C11F52">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（3）认定的与比选文件第五章规定的技术、商务和其他规定要求不符的非实质性偏离。</w:t>
      </w:r>
    </w:p>
    <w:p w14:paraId="4A79FCAC">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（4）认定的其他非实质性偏离。</w:t>
      </w:r>
    </w:p>
    <w:p w14:paraId="0E307369">
      <w:pPr>
        <w:spacing w:line="400" w:lineRule="exact"/>
        <w:ind w:firstLine="482" w:firstLineChars="200"/>
        <w:rPr>
          <w:rFonts w:ascii="仿宋" w:hAnsi="仿宋" w:eastAsia="仿宋" w:cs="仿宋"/>
          <w:sz w:val="24"/>
          <w:highlight w:val="none"/>
        </w:rPr>
      </w:pPr>
      <w:r>
        <w:rPr>
          <w:rFonts w:hint="eastAsia" w:ascii="仿宋" w:hAnsi="仿宋" w:eastAsia="仿宋" w:cs="仿宋"/>
          <w:b/>
          <w:sz w:val="24"/>
          <w:highlight w:val="none"/>
        </w:rPr>
        <w:t>3</w:t>
      </w:r>
      <w:r>
        <w:rPr>
          <w:rFonts w:ascii="仿宋" w:hAnsi="仿宋" w:eastAsia="仿宋" w:cs="仿宋"/>
          <w:b/>
          <w:sz w:val="24"/>
          <w:highlight w:val="none"/>
        </w:rPr>
        <w:t>.4</w:t>
      </w:r>
      <w:r>
        <w:rPr>
          <w:rFonts w:hint="eastAsia" w:ascii="仿宋" w:hAnsi="仿宋" w:eastAsia="仿宋" w:cs="仿宋"/>
          <w:b/>
          <w:sz w:val="24"/>
          <w:highlight w:val="none"/>
        </w:rPr>
        <w:t>综合评分明细表</w:t>
      </w:r>
      <w:r>
        <w:rPr>
          <w:rFonts w:hint="eastAsia" w:ascii="仿宋" w:hAnsi="仿宋" w:eastAsia="仿宋" w:cs="仿宋"/>
          <w:sz w:val="24"/>
          <w:highlight w:val="none"/>
        </w:rPr>
        <w:t>：</w:t>
      </w:r>
    </w:p>
    <w:p w14:paraId="08894E75">
      <w:pPr>
        <w:pStyle w:val="35"/>
        <w:rPr>
          <w:highlight w:val="none"/>
        </w:rPr>
      </w:pPr>
    </w:p>
    <w:tbl>
      <w:tblPr>
        <w:tblStyle w:val="59"/>
        <w:tblW w:w="9829" w:type="dxa"/>
        <w:tblInd w:w="9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8"/>
        <w:gridCol w:w="678"/>
        <w:gridCol w:w="597"/>
        <w:gridCol w:w="1366"/>
        <w:gridCol w:w="5072"/>
        <w:gridCol w:w="1438"/>
      </w:tblGrid>
      <w:tr w14:paraId="073667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8" w:type="dxa"/>
            <w:tcBorders>
              <w:bottom w:val="single" w:color="000000" w:sz="8" w:space="0"/>
              <w:right w:val="single" w:color="000000" w:sz="8" w:space="0"/>
            </w:tcBorders>
            <w:shd w:val="clear" w:color="auto" w:fill="auto"/>
            <w:vAlign w:val="center"/>
          </w:tcPr>
          <w:p w14:paraId="06B5556E">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r>
              <w:rPr>
                <w:rFonts w:hint="eastAsia" w:ascii="宋体" w:hAnsi="宋体" w:eastAsia="宋体" w:cs="宋体"/>
                <w:b/>
                <w:bCs/>
                <w:i w:val="0"/>
                <w:iCs w:val="0"/>
                <w:color w:val="000000"/>
                <w:kern w:val="0"/>
                <w:sz w:val="18"/>
                <w:szCs w:val="18"/>
                <w:highlight w:val="none"/>
                <w:u w:val="none"/>
                <w:lang w:val="en-US" w:eastAsia="zh-CN" w:bidi="ar"/>
              </w:rPr>
              <w:t>序号</w:t>
            </w:r>
          </w:p>
        </w:tc>
        <w:tc>
          <w:tcPr>
            <w:tcW w:w="678" w:type="dxa"/>
            <w:tcBorders>
              <w:left w:val="single" w:color="000000" w:sz="8" w:space="0"/>
              <w:bottom w:val="single" w:color="000000" w:sz="8" w:space="0"/>
              <w:right w:val="single" w:color="000000" w:sz="8" w:space="0"/>
            </w:tcBorders>
            <w:shd w:val="clear" w:color="auto" w:fill="auto"/>
            <w:vAlign w:val="center"/>
          </w:tcPr>
          <w:p w14:paraId="1245B368">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评分因素</w:t>
            </w:r>
          </w:p>
        </w:tc>
        <w:tc>
          <w:tcPr>
            <w:tcW w:w="597" w:type="dxa"/>
            <w:tcBorders>
              <w:left w:val="single" w:color="000000" w:sz="8" w:space="0"/>
              <w:bottom w:val="single" w:color="000000" w:sz="8" w:space="0"/>
              <w:right w:val="single" w:color="000000" w:sz="8" w:space="0"/>
            </w:tcBorders>
            <w:shd w:val="clear" w:color="auto" w:fill="auto"/>
            <w:vAlign w:val="center"/>
          </w:tcPr>
          <w:p w14:paraId="4DF479BD">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分值权重</w:t>
            </w:r>
          </w:p>
        </w:tc>
        <w:tc>
          <w:tcPr>
            <w:tcW w:w="1366" w:type="dxa"/>
            <w:tcBorders>
              <w:left w:val="single" w:color="000000" w:sz="8" w:space="0"/>
              <w:bottom w:val="single" w:color="000000" w:sz="8" w:space="0"/>
              <w:right w:val="single" w:color="000000" w:sz="8" w:space="0"/>
            </w:tcBorders>
            <w:shd w:val="clear" w:color="auto" w:fill="auto"/>
            <w:vAlign w:val="center"/>
          </w:tcPr>
          <w:p w14:paraId="7BA8B26E">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评分项目</w:t>
            </w:r>
          </w:p>
        </w:tc>
        <w:tc>
          <w:tcPr>
            <w:tcW w:w="5072" w:type="dxa"/>
            <w:tcBorders>
              <w:left w:val="single" w:color="000000" w:sz="8" w:space="0"/>
              <w:bottom w:val="single" w:color="000000" w:sz="8" w:space="0"/>
              <w:right w:val="single" w:color="000000" w:sz="8" w:space="0"/>
            </w:tcBorders>
            <w:shd w:val="clear" w:color="auto" w:fill="auto"/>
            <w:vAlign w:val="center"/>
          </w:tcPr>
          <w:p w14:paraId="569A62C5">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评分依据</w:t>
            </w:r>
          </w:p>
        </w:tc>
        <w:tc>
          <w:tcPr>
            <w:tcW w:w="1438" w:type="dxa"/>
            <w:tcBorders>
              <w:left w:val="single" w:color="000000" w:sz="8" w:space="0"/>
              <w:bottom w:val="single" w:color="000000" w:sz="8" w:space="0"/>
            </w:tcBorders>
            <w:shd w:val="clear" w:color="auto" w:fill="auto"/>
            <w:vAlign w:val="center"/>
          </w:tcPr>
          <w:p w14:paraId="6E686617">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说明</w:t>
            </w:r>
          </w:p>
        </w:tc>
      </w:tr>
      <w:tr w14:paraId="35BDE7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74" w:hRule="atLeast"/>
        </w:trPr>
        <w:tc>
          <w:tcPr>
            <w:tcW w:w="678" w:type="dxa"/>
            <w:vMerge w:val="restart"/>
            <w:tcBorders>
              <w:top w:val="single" w:color="000000" w:sz="8" w:space="0"/>
              <w:right w:val="single" w:color="000000" w:sz="8" w:space="0"/>
            </w:tcBorders>
            <w:shd w:val="clear" w:color="auto" w:fill="auto"/>
            <w:vAlign w:val="center"/>
          </w:tcPr>
          <w:p w14:paraId="22FA5EC3">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67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E5C0423">
            <w:pPr>
              <w:keepNext w:val="0"/>
              <w:keepLines w:val="0"/>
              <w:widowControl/>
              <w:suppressLineNumbers w:val="0"/>
              <w:spacing w:line="360" w:lineRule="auto"/>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报 价 </w:t>
            </w:r>
          </w:p>
        </w:tc>
        <w:tc>
          <w:tcPr>
            <w:tcW w:w="59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F3C13A7">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20分</w:t>
            </w:r>
          </w:p>
        </w:tc>
        <w:tc>
          <w:tcPr>
            <w:tcW w:w="136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38E649E">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报价20分</w:t>
            </w:r>
          </w:p>
        </w:tc>
        <w:tc>
          <w:tcPr>
            <w:tcW w:w="5072" w:type="dxa"/>
            <w:tcBorders>
              <w:top w:val="single" w:color="000000" w:sz="8" w:space="0"/>
              <w:left w:val="single" w:color="000000" w:sz="8" w:space="0"/>
              <w:bottom w:val="nil"/>
              <w:right w:val="single" w:color="000000" w:sz="8" w:space="0"/>
            </w:tcBorders>
            <w:shd w:val="clear" w:color="auto" w:fill="auto"/>
            <w:vAlign w:val="center"/>
          </w:tcPr>
          <w:p w14:paraId="27A999A4">
            <w:pPr>
              <w:keepNext w:val="0"/>
              <w:keepLines w:val="0"/>
              <w:widowControl/>
              <w:suppressLineNumbers w:val="0"/>
              <w:spacing w:line="360" w:lineRule="auto"/>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满足比选文件要求且报价最低的供应商的价格为基准价，其价格分为满分。其他供应商的价格分统一按照下列公式计算：报价得分=（基准价/报价）×20</w:t>
            </w:r>
          </w:p>
        </w:tc>
        <w:tc>
          <w:tcPr>
            <w:tcW w:w="1438" w:type="dxa"/>
            <w:vMerge w:val="restart"/>
            <w:tcBorders>
              <w:top w:val="single" w:color="000000" w:sz="8" w:space="0"/>
              <w:left w:val="single" w:color="000000" w:sz="8" w:space="0"/>
              <w:bottom w:val="single" w:color="000000" w:sz="8" w:space="0"/>
            </w:tcBorders>
            <w:shd w:val="clear" w:color="auto" w:fill="auto"/>
            <w:vAlign w:val="center"/>
          </w:tcPr>
          <w:p w14:paraId="44B6DD74">
            <w:pPr>
              <w:spacing w:line="360" w:lineRule="auto"/>
              <w:jc w:val="left"/>
              <w:rPr>
                <w:rFonts w:hint="eastAsia" w:ascii="宋体" w:hAnsi="宋体" w:eastAsia="宋体" w:cs="宋体"/>
                <w:i w:val="0"/>
                <w:iCs w:val="0"/>
                <w:color w:val="000000"/>
                <w:sz w:val="18"/>
                <w:szCs w:val="18"/>
                <w:highlight w:val="none"/>
                <w:u w:val="none"/>
              </w:rPr>
            </w:pPr>
          </w:p>
        </w:tc>
      </w:tr>
      <w:tr w14:paraId="47246F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678" w:type="dxa"/>
            <w:vMerge w:val="continue"/>
            <w:tcBorders>
              <w:bottom w:val="single" w:color="000000" w:sz="8" w:space="0"/>
              <w:right w:val="single" w:color="000000" w:sz="8" w:space="0"/>
            </w:tcBorders>
            <w:shd w:val="clear" w:color="auto" w:fill="auto"/>
            <w:vAlign w:val="center"/>
          </w:tcPr>
          <w:p w14:paraId="7FD01805">
            <w:pPr>
              <w:spacing w:line="360" w:lineRule="auto"/>
              <w:jc w:val="center"/>
              <w:rPr>
                <w:rFonts w:hint="eastAsia" w:ascii="宋体" w:hAnsi="宋体" w:eastAsia="宋体" w:cs="宋体"/>
                <w:i w:val="0"/>
                <w:iCs w:val="0"/>
                <w:color w:val="000000"/>
                <w:sz w:val="18"/>
                <w:szCs w:val="18"/>
                <w:highlight w:val="none"/>
                <w:u w:val="none"/>
              </w:rPr>
            </w:pPr>
          </w:p>
        </w:tc>
        <w:tc>
          <w:tcPr>
            <w:tcW w:w="67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9CBC979">
            <w:pPr>
              <w:spacing w:line="360" w:lineRule="auto"/>
              <w:jc w:val="left"/>
              <w:rPr>
                <w:rFonts w:hint="eastAsia" w:ascii="宋体" w:hAnsi="宋体" w:eastAsia="宋体" w:cs="宋体"/>
                <w:i w:val="0"/>
                <w:iCs w:val="0"/>
                <w:color w:val="000000"/>
                <w:sz w:val="18"/>
                <w:szCs w:val="18"/>
                <w:highlight w:val="none"/>
                <w:u w:val="none"/>
              </w:rPr>
            </w:pPr>
          </w:p>
        </w:tc>
        <w:tc>
          <w:tcPr>
            <w:tcW w:w="59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0C516C3">
            <w:pPr>
              <w:spacing w:line="360" w:lineRule="auto"/>
              <w:jc w:val="center"/>
              <w:rPr>
                <w:rFonts w:hint="eastAsia" w:ascii="宋体" w:hAnsi="宋体" w:eastAsia="宋体" w:cs="宋体"/>
                <w:i w:val="0"/>
                <w:iCs w:val="0"/>
                <w:color w:val="000000"/>
                <w:sz w:val="18"/>
                <w:szCs w:val="18"/>
                <w:highlight w:val="none"/>
                <w:u w:val="none"/>
              </w:rPr>
            </w:pPr>
          </w:p>
        </w:tc>
        <w:tc>
          <w:tcPr>
            <w:tcW w:w="136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43B58E8">
            <w:pPr>
              <w:spacing w:line="360" w:lineRule="auto"/>
              <w:jc w:val="center"/>
              <w:rPr>
                <w:rFonts w:hint="eastAsia" w:ascii="宋体" w:hAnsi="宋体" w:eastAsia="宋体" w:cs="宋体"/>
                <w:i w:val="0"/>
                <w:iCs w:val="0"/>
                <w:color w:val="000000"/>
                <w:sz w:val="18"/>
                <w:szCs w:val="18"/>
                <w:highlight w:val="none"/>
                <w:u w:val="none"/>
              </w:rPr>
            </w:pPr>
          </w:p>
        </w:tc>
        <w:tc>
          <w:tcPr>
            <w:tcW w:w="5072" w:type="dxa"/>
            <w:tcBorders>
              <w:top w:val="nil"/>
              <w:left w:val="single" w:color="000000" w:sz="8" w:space="0"/>
              <w:bottom w:val="single" w:color="000000" w:sz="8" w:space="0"/>
              <w:right w:val="single" w:color="000000" w:sz="8" w:space="0"/>
            </w:tcBorders>
            <w:shd w:val="clear" w:color="auto" w:fill="auto"/>
            <w:vAlign w:val="center"/>
          </w:tcPr>
          <w:p w14:paraId="350576B0">
            <w:pPr>
              <w:keepNext w:val="0"/>
              <w:keepLines w:val="0"/>
              <w:widowControl/>
              <w:suppressLineNumbers w:val="0"/>
              <w:spacing w:line="360" w:lineRule="auto"/>
              <w:jc w:val="left"/>
              <w:textAlignment w:val="center"/>
              <w:rPr>
                <w:rFonts w:hint="eastAsia" w:ascii="宋体" w:hAnsi="宋体" w:eastAsia="宋体" w:cs="宋体"/>
                <w:i w:val="0"/>
                <w:iCs w:val="0"/>
                <w:color w:val="000000"/>
                <w:sz w:val="18"/>
                <w:szCs w:val="18"/>
                <w:highlight w:val="none"/>
                <w:u w:val="none"/>
              </w:rPr>
            </w:pPr>
          </w:p>
        </w:tc>
        <w:tc>
          <w:tcPr>
            <w:tcW w:w="1438" w:type="dxa"/>
            <w:vMerge w:val="continue"/>
            <w:tcBorders>
              <w:top w:val="single" w:color="000000" w:sz="8" w:space="0"/>
              <w:left w:val="single" w:color="000000" w:sz="8" w:space="0"/>
              <w:bottom w:val="single" w:color="000000" w:sz="8" w:space="0"/>
            </w:tcBorders>
            <w:shd w:val="clear" w:color="auto" w:fill="auto"/>
            <w:vAlign w:val="center"/>
          </w:tcPr>
          <w:p w14:paraId="037EE4C5">
            <w:pPr>
              <w:spacing w:line="360" w:lineRule="auto"/>
              <w:jc w:val="left"/>
              <w:rPr>
                <w:rFonts w:hint="eastAsia" w:ascii="宋体" w:hAnsi="宋体" w:eastAsia="宋体" w:cs="宋体"/>
                <w:i w:val="0"/>
                <w:iCs w:val="0"/>
                <w:color w:val="000000"/>
                <w:sz w:val="18"/>
                <w:szCs w:val="18"/>
                <w:highlight w:val="none"/>
                <w:u w:val="none"/>
              </w:rPr>
            </w:pPr>
          </w:p>
        </w:tc>
      </w:tr>
      <w:tr w14:paraId="4E7873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78" w:type="dxa"/>
            <w:vMerge w:val="restart"/>
            <w:tcBorders>
              <w:top w:val="single" w:color="000000" w:sz="8" w:space="0"/>
              <w:right w:val="single" w:color="000000" w:sz="8" w:space="0"/>
            </w:tcBorders>
            <w:shd w:val="clear" w:color="auto" w:fill="auto"/>
            <w:vAlign w:val="center"/>
          </w:tcPr>
          <w:p w14:paraId="20638516">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67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3D05D8C">
            <w:pPr>
              <w:keepNext w:val="0"/>
              <w:keepLines w:val="0"/>
              <w:widowControl/>
              <w:suppressLineNumbers w:val="0"/>
              <w:spacing w:line="360" w:lineRule="auto"/>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人 员 配 置 </w:t>
            </w:r>
          </w:p>
        </w:tc>
        <w:tc>
          <w:tcPr>
            <w:tcW w:w="59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0C5D789">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25分</w:t>
            </w:r>
          </w:p>
        </w:tc>
        <w:tc>
          <w:tcPr>
            <w:tcW w:w="136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648C9E0">
            <w:pPr>
              <w:keepNext w:val="0"/>
              <w:keepLines w:val="0"/>
              <w:widowControl/>
              <w:suppressLineNumbers w:val="0"/>
              <w:spacing w:line="360" w:lineRule="auto"/>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项目组负责人10分</w:t>
            </w:r>
          </w:p>
        </w:tc>
        <w:tc>
          <w:tcPr>
            <w:tcW w:w="5072" w:type="dxa"/>
            <w:tcBorders>
              <w:top w:val="single" w:color="000000" w:sz="8" w:space="0"/>
              <w:left w:val="single" w:color="000000" w:sz="8" w:space="0"/>
              <w:bottom w:val="nil"/>
              <w:right w:val="single" w:color="000000" w:sz="8" w:space="0"/>
            </w:tcBorders>
            <w:shd w:val="clear" w:color="auto" w:fill="auto"/>
            <w:vAlign w:val="center"/>
          </w:tcPr>
          <w:p w14:paraId="1FEAD382">
            <w:pPr>
              <w:keepNext w:val="0"/>
              <w:keepLines w:val="0"/>
              <w:widowControl/>
              <w:suppressLineNumbers w:val="0"/>
              <w:spacing w:line="360" w:lineRule="auto"/>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（1）项目组负责人资质（5分）</w:t>
            </w:r>
          </w:p>
        </w:tc>
        <w:tc>
          <w:tcPr>
            <w:tcW w:w="1438" w:type="dxa"/>
            <w:vMerge w:val="restart"/>
            <w:tcBorders>
              <w:top w:val="single" w:color="000000" w:sz="8" w:space="0"/>
              <w:left w:val="single" w:color="000000" w:sz="8" w:space="0"/>
              <w:bottom w:val="single" w:color="000000" w:sz="8" w:space="0"/>
            </w:tcBorders>
            <w:shd w:val="clear" w:color="auto" w:fill="auto"/>
            <w:vAlign w:val="center"/>
          </w:tcPr>
          <w:p w14:paraId="2D6417B6">
            <w:pPr>
              <w:keepNext w:val="0"/>
              <w:keepLines w:val="0"/>
              <w:widowControl/>
              <w:suppressLineNumbers w:val="0"/>
              <w:spacing w:line="360" w:lineRule="auto"/>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提供人员职称证书、在职证明材料及从事相关工作年限证明材料。</w:t>
            </w:r>
          </w:p>
        </w:tc>
      </w:tr>
      <w:tr w14:paraId="176F71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434" w:hRule="atLeast"/>
        </w:trPr>
        <w:tc>
          <w:tcPr>
            <w:tcW w:w="678" w:type="dxa"/>
            <w:vMerge w:val="continue"/>
            <w:tcBorders>
              <w:right w:val="single" w:color="000000" w:sz="8" w:space="0"/>
            </w:tcBorders>
            <w:shd w:val="clear" w:color="auto" w:fill="auto"/>
            <w:vAlign w:val="center"/>
          </w:tcPr>
          <w:p w14:paraId="3E9F63C7">
            <w:pPr>
              <w:spacing w:line="360" w:lineRule="auto"/>
              <w:jc w:val="center"/>
              <w:rPr>
                <w:rFonts w:hint="eastAsia" w:ascii="宋体" w:hAnsi="宋体" w:eastAsia="宋体" w:cs="宋体"/>
                <w:i w:val="0"/>
                <w:iCs w:val="0"/>
                <w:color w:val="000000"/>
                <w:sz w:val="18"/>
                <w:szCs w:val="18"/>
                <w:highlight w:val="none"/>
                <w:u w:val="none"/>
              </w:rPr>
            </w:pPr>
          </w:p>
        </w:tc>
        <w:tc>
          <w:tcPr>
            <w:tcW w:w="67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B60ABE3">
            <w:pPr>
              <w:spacing w:line="360" w:lineRule="auto"/>
              <w:jc w:val="left"/>
              <w:rPr>
                <w:rFonts w:hint="eastAsia" w:ascii="宋体" w:hAnsi="宋体" w:eastAsia="宋体" w:cs="宋体"/>
                <w:i w:val="0"/>
                <w:iCs w:val="0"/>
                <w:color w:val="000000"/>
                <w:sz w:val="18"/>
                <w:szCs w:val="18"/>
                <w:highlight w:val="none"/>
                <w:u w:val="none"/>
              </w:rPr>
            </w:pPr>
          </w:p>
        </w:tc>
        <w:tc>
          <w:tcPr>
            <w:tcW w:w="59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2E1E605">
            <w:pPr>
              <w:spacing w:line="360" w:lineRule="auto"/>
              <w:jc w:val="center"/>
              <w:rPr>
                <w:rFonts w:hint="eastAsia" w:ascii="宋体" w:hAnsi="宋体" w:eastAsia="宋体" w:cs="宋体"/>
                <w:i w:val="0"/>
                <w:iCs w:val="0"/>
                <w:color w:val="000000"/>
                <w:sz w:val="18"/>
                <w:szCs w:val="18"/>
                <w:highlight w:val="none"/>
                <w:u w:val="none"/>
              </w:rPr>
            </w:pPr>
          </w:p>
        </w:tc>
        <w:tc>
          <w:tcPr>
            <w:tcW w:w="136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837E0D9">
            <w:pPr>
              <w:spacing w:line="360" w:lineRule="auto"/>
              <w:jc w:val="center"/>
              <w:rPr>
                <w:rFonts w:hint="eastAsia" w:ascii="宋体" w:hAnsi="宋体" w:eastAsia="宋体" w:cs="宋体"/>
                <w:i w:val="0"/>
                <w:iCs w:val="0"/>
                <w:color w:val="000000"/>
                <w:sz w:val="18"/>
                <w:szCs w:val="18"/>
                <w:highlight w:val="none"/>
                <w:u w:val="none"/>
              </w:rPr>
            </w:pPr>
          </w:p>
        </w:tc>
        <w:tc>
          <w:tcPr>
            <w:tcW w:w="5072" w:type="dxa"/>
            <w:tcBorders>
              <w:top w:val="nil"/>
              <w:left w:val="single" w:color="000000" w:sz="8" w:space="0"/>
              <w:bottom w:val="single" w:color="000000" w:sz="8" w:space="0"/>
              <w:right w:val="single" w:color="000000" w:sz="8" w:space="0"/>
            </w:tcBorders>
            <w:shd w:val="clear" w:color="auto" w:fill="auto"/>
            <w:vAlign w:val="center"/>
          </w:tcPr>
          <w:p w14:paraId="51231276">
            <w:pPr>
              <w:keepNext w:val="0"/>
              <w:keepLines w:val="0"/>
              <w:widowControl/>
              <w:suppressLineNumbers w:val="0"/>
              <w:spacing w:line="360" w:lineRule="auto"/>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项目组负责人为注册会计师或者具有会计、经济或审计高级职称及以上的，得5分；项目组负责人具有会计、经济或审计中级职称的，得3分。项目组负责人具有会计、经济或审计初级职称的，得1分。</w:t>
            </w:r>
          </w:p>
        </w:tc>
        <w:tc>
          <w:tcPr>
            <w:tcW w:w="1438" w:type="dxa"/>
            <w:vMerge w:val="continue"/>
            <w:tcBorders>
              <w:top w:val="single" w:color="000000" w:sz="8" w:space="0"/>
              <w:left w:val="single" w:color="000000" w:sz="8" w:space="0"/>
              <w:bottom w:val="single" w:color="000000" w:sz="8" w:space="0"/>
            </w:tcBorders>
            <w:shd w:val="clear" w:color="auto" w:fill="auto"/>
            <w:vAlign w:val="center"/>
          </w:tcPr>
          <w:p w14:paraId="04471574">
            <w:pPr>
              <w:spacing w:line="360" w:lineRule="auto"/>
              <w:jc w:val="left"/>
              <w:rPr>
                <w:rFonts w:hint="eastAsia" w:ascii="宋体" w:hAnsi="宋体" w:eastAsia="宋体" w:cs="宋体"/>
                <w:i w:val="0"/>
                <w:iCs w:val="0"/>
                <w:color w:val="000000"/>
                <w:sz w:val="18"/>
                <w:szCs w:val="18"/>
                <w:highlight w:val="none"/>
                <w:u w:val="none"/>
              </w:rPr>
            </w:pPr>
          </w:p>
        </w:tc>
      </w:tr>
      <w:tr w14:paraId="74EB1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78" w:type="dxa"/>
            <w:vMerge w:val="continue"/>
            <w:tcBorders>
              <w:right w:val="single" w:color="000000" w:sz="8" w:space="0"/>
            </w:tcBorders>
            <w:shd w:val="clear" w:color="auto" w:fill="auto"/>
            <w:vAlign w:val="center"/>
          </w:tcPr>
          <w:p w14:paraId="37CFE1E9">
            <w:pPr>
              <w:spacing w:line="360" w:lineRule="auto"/>
              <w:jc w:val="center"/>
              <w:rPr>
                <w:rFonts w:hint="eastAsia" w:ascii="宋体" w:hAnsi="宋体" w:eastAsia="宋体" w:cs="宋体"/>
                <w:i w:val="0"/>
                <w:iCs w:val="0"/>
                <w:color w:val="000000"/>
                <w:sz w:val="18"/>
                <w:szCs w:val="18"/>
                <w:highlight w:val="none"/>
                <w:u w:val="none"/>
              </w:rPr>
            </w:pPr>
          </w:p>
        </w:tc>
        <w:tc>
          <w:tcPr>
            <w:tcW w:w="67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8BF73B1">
            <w:pPr>
              <w:spacing w:line="360" w:lineRule="auto"/>
              <w:jc w:val="left"/>
              <w:rPr>
                <w:rFonts w:hint="eastAsia" w:ascii="宋体" w:hAnsi="宋体" w:eastAsia="宋体" w:cs="宋体"/>
                <w:i w:val="0"/>
                <w:iCs w:val="0"/>
                <w:color w:val="000000"/>
                <w:sz w:val="18"/>
                <w:szCs w:val="18"/>
                <w:highlight w:val="none"/>
                <w:u w:val="none"/>
              </w:rPr>
            </w:pPr>
          </w:p>
        </w:tc>
        <w:tc>
          <w:tcPr>
            <w:tcW w:w="59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01A74F3">
            <w:pPr>
              <w:spacing w:line="360" w:lineRule="auto"/>
              <w:jc w:val="center"/>
              <w:rPr>
                <w:rFonts w:hint="eastAsia" w:ascii="宋体" w:hAnsi="宋体" w:eastAsia="宋体" w:cs="宋体"/>
                <w:i w:val="0"/>
                <w:iCs w:val="0"/>
                <w:color w:val="000000"/>
                <w:sz w:val="18"/>
                <w:szCs w:val="18"/>
                <w:highlight w:val="none"/>
                <w:u w:val="none"/>
              </w:rPr>
            </w:pPr>
          </w:p>
        </w:tc>
        <w:tc>
          <w:tcPr>
            <w:tcW w:w="136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33B34A9">
            <w:pPr>
              <w:spacing w:line="360" w:lineRule="auto"/>
              <w:jc w:val="center"/>
              <w:rPr>
                <w:rFonts w:hint="eastAsia" w:ascii="宋体" w:hAnsi="宋体" w:eastAsia="宋体" w:cs="宋体"/>
                <w:i w:val="0"/>
                <w:iCs w:val="0"/>
                <w:color w:val="000000"/>
                <w:sz w:val="18"/>
                <w:szCs w:val="18"/>
                <w:highlight w:val="none"/>
                <w:u w:val="none"/>
              </w:rPr>
            </w:pPr>
          </w:p>
        </w:tc>
        <w:tc>
          <w:tcPr>
            <w:tcW w:w="5072" w:type="dxa"/>
            <w:tcBorders>
              <w:top w:val="single" w:color="000000" w:sz="8" w:space="0"/>
              <w:left w:val="single" w:color="000000" w:sz="8" w:space="0"/>
              <w:bottom w:val="nil"/>
              <w:right w:val="single" w:color="000000" w:sz="8" w:space="0"/>
            </w:tcBorders>
            <w:shd w:val="clear" w:color="auto" w:fill="auto"/>
            <w:vAlign w:val="center"/>
          </w:tcPr>
          <w:p w14:paraId="27C1FE20">
            <w:pPr>
              <w:keepNext w:val="0"/>
              <w:keepLines w:val="0"/>
              <w:widowControl/>
              <w:suppressLineNumbers w:val="0"/>
              <w:spacing w:line="360" w:lineRule="auto"/>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（2）项目负责人工作年限（5分）</w:t>
            </w:r>
          </w:p>
        </w:tc>
        <w:tc>
          <w:tcPr>
            <w:tcW w:w="1438" w:type="dxa"/>
            <w:vMerge w:val="continue"/>
            <w:tcBorders>
              <w:top w:val="single" w:color="000000" w:sz="8" w:space="0"/>
              <w:left w:val="single" w:color="000000" w:sz="8" w:space="0"/>
              <w:bottom w:val="single" w:color="000000" w:sz="8" w:space="0"/>
            </w:tcBorders>
            <w:shd w:val="clear" w:color="auto" w:fill="auto"/>
            <w:vAlign w:val="center"/>
          </w:tcPr>
          <w:p w14:paraId="2240ADEB">
            <w:pPr>
              <w:spacing w:line="360" w:lineRule="auto"/>
              <w:jc w:val="left"/>
              <w:rPr>
                <w:rFonts w:hint="eastAsia" w:ascii="宋体" w:hAnsi="宋体" w:eastAsia="宋体" w:cs="宋体"/>
                <w:i w:val="0"/>
                <w:iCs w:val="0"/>
                <w:color w:val="000000"/>
                <w:sz w:val="18"/>
                <w:szCs w:val="18"/>
                <w:highlight w:val="none"/>
                <w:u w:val="none"/>
              </w:rPr>
            </w:pPr>
          </w:p>
        </w:tc>
      </w:tr>
      <w:tr w14:paraId="076F6F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74" w:hRule="atLeast"/>
        </w:trPr>
        <w:tc>
          <w:tcPr>
            <w:tcW w:w="678" w:type="dxa"/>
            <w:vMerge w:val="continue"/>
            <w:tcBorders>
              <w:right w:val="single" w:color="000000" w:sz="8" w:space="0"/>
            </w:tcBorders>
            <w:shd w:val="clear" w:color="auto" w:fill="auto"/>
            <w:vAlign w:val="center"/>
          </w:tcPr>
          <w:p w14:paraId="4A456DC7">
            <w:pPr>
              <w:spacing w:line="360" w:lineRule="auto"/>
              <w:jc w:val="center"/>
              <w:rPr>
                <w:rFonts w:hint="eastAsia" w:ascii="宋体" w:hAnsi="宋体" w:eastAsia="宋体" w:cs="宋体"/>
                <w:i w:val="0"/>
                <w:iCs w:val="0"/>
                <w:color w:val="000000"/>
                <w:sz w:val="18"/>
                <w:szCs w:val="18"/>
                <w:highlight w:val="none"/>
                <w:u w:val="none"/>
              </w:rPr>
            </w:pPr>
          </w:p>
        </w:tc>
        <w:tc>
          <w:tcPr>
            <w:tcW w:w="67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4159092">
            <w:pPr>
              <w:spacing w:line="360" w:lineRule="auto"/>
              <w:jc w:val="left"/>
              <w:rPr>
                <w:rFonts w:hint="eastAsia" w:ascii="宋体" w:hAnsi="宋体" w:eastAsia="宋体" w:cs="宋体"/>
                <w:i w:val="0"/>
                <w:iCs w:val="0"/>
                <w:color w:val="000000"/>
                <w:sz w:val="18"/>
                <w:szCs w:val="18"/>
                <w:highlight w:val="none"/>
                <w:u w:val="none"/>
              </w:rPr>
            </w:pPr>
          </w:p>
        </w:tc>
        <w:tc>
          <w:tcPr>
            <w:tcW w:w="59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08952BA">
            <w:pPr>
              <w:spacing w:line="360" w:lineRule="auto"/>
              <w:jc w:val="center"/>
              <w:rPr>
                <w:rFonts w:hint="eastAsia" w:ascii="宋体" w:hAnsi="宋体" w:eastAsia="宋体" w:cs="宋体"/>
                <w:i w:val="0"/>
                <w:iCs w:val="0"/>
                <w:color w:val="000000"/>
                <w:sz w:val="18"/>
                <w:szCs w:val="18"/>
                <w:highlight w:val="none"/>
                <w:u w:val="none"/>
              </w:rPr>
            </w:pPr>
          </w:p>
        </w:tc>
        <w:tc>
          <w:tcPr>
            <w:tcW w:w="136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2C59452">
            <w:pPr>
              <w:spacing w:line="360" w:lineRule="auto"/>
              <w:jc w:val="center"/>
              <w:rPr>
                <w:rFonts w:hint="eastAsia" w:ascii="宋体" w:hAnsi="宋体" w:eastAsia="宋体" w:cs="宋体"/>
                <w:i w:val="0"/>
                <w:iCs w:val="0"/>
                <w:color w:val="000000"/>
                <w:sz w:val="18"/>
                <w:szCs w:val="18"/>
                <w:highlight w:val="none"/>
                <w:u w:val="none"/>
              </w:rPr>
            </w:pPr>
          </w:p>
        </w:tc>
        <w:tc>
          <w:tcPr>
            <w:tcW w:w="5072" w:type="dxa"/>
            <w:tcBorders>
              <w:top w:val="nil"/>
              <w:left w:val="single" w:color="000000" w:sz="8" w:space="0"/>
              <w:bottom w:val="single" w:color="000000" w:sz="8" w:space="0"/>
              <w:right w:val="single" w:color="000000" w:sz="8" w:space="0"/>
            </w:tcBorders>
            <w:shd w:val="clear" w:color="auto" w:fill="auto"/>
            <w:vAlign w:val="center"/>
          </w:tcPr>
          <w:p w14:paraId="49469D40">
            <w:pPr>
              <w:keepNext w:val="0"/>
              <w:keepLines w:val="0"/>
              <w:widowControl/>
              <w:suppressLineNumbers w:val="0"/>
              <w:spacing w:line="360" w:lineRule="auto"/>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有相关工作年限10年及以上得5分；有相关工作年限5（含5年）-10年得3分；有相关工作年限5年以下不得分。</w:t>
            </w:r>
          </w:p>
        </w:tc>
        <w:tc>
          <w:tcPr>
            <w:tcW w:w="1438" w:type="dxa"/>
            <w:vMerge w:val="continue"/>
            <w:tcBorders>
              <w:top w:val="single" w:color="000000" w:sz="8" w:space="0"/>
              <w:left w:val="single" w:color="000000" w:sz="8" w:space="0"/>
              <w:bottom w:val="single" w:color="000000" w:sz="8" w:space="0"/>
            </w:tcBorders>
            <w:shd w:val="clear" w:color="auto" w:fill="auto"/>
            <w:vAlign w:val="center"/>
          </w:tcPr>
          <w:p w14:paraId="1D60F25F">
            <w:pPr>
              <w:spacing w:line="360" w:lineRule="auto"/>
              <w:jc w:val="left"/>
              <w:rPr>
                <w:rFonts w:hint="eastAsia" w:ascii="宋体" w:hAnsi="宋体" w:eastAsia="宋体" w:cs="宋体"/>
                <w:i w:val="0"/>
                <w:iCs w:val="0"/>
                <w:color w:val="000000"/>
                <w:sz w:val="18"/>
                <w:szCs w:val="18"/>
                <w:highlight w:val="none"/>
                <w:u w:val="none"/>
              </w:rPr>
            </w:pPr>
          </w:p>
        </w:tc>
      </w:tr>
      <w:tr w14:paraId="647BD6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78" w:type="dxa"/>
            <w:vMerge w:val="continue"/>
            <w:tcBorders>
              <w:right w:val="single" w:color="000000" w:sz="8" w:space="0"/>
            </w:tcBorders>
            <w:shd w:val="clear" w:color="auto" w:fill="auto"/>
            <w:vAlign w:val="center"/>
          </w:tcPr>
          <w:p w14:paraId="6C1BC90E">
            <w:pPr>
              <w:spacing w:line="360" w:lineRule="auto"/>
              <w:jc w:val="center"/>
              <w:rPr>
                <w:rFonts w:hint="eastAsia" w:ascii="宋体" w:hAnsi="宋体" w:eastAsia="宋体" w:cs="宋体"/>
                <w:i w:val="0"/>
                <w:iCs w:val="0"/>
                <w:color w:val="000000"/>
                <w:sz w:val="18"/>
                <w:szCs w:val="18"/>
                <w:highlight w:val="none"/>
                <w:u w:val="none"/>
              </w:rPr>
            </w:pPr>
          </w:p>
        </w:tc>
        <w:tc>
          <w:tcPr>
            <w:tcW w:w="67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2DDF6B5">
            <w:pPr>
              <w:spacing w:line="360" w:lineRule="auto"/>
              <w:jc w:val="left"/>
              <w:rPr>
                <w:rFonts w:hint="eastAsia" w:ascii="宋体" w:hAnsi="宋体" w:eastAsia="宋体" w:cs="宋体"/>
                <w:i w:val="0"/>
                <w:iCs w:val="0"/>
                <w:color w:val="000000"/>
                <w:sz w:val="18"/>
                <w:szCs w:val="18"/>
                <w:highlight w:val="none"/>
                <w:u w:val="none"/>
              </w:rPr>
            </w:pPr>
          </w:p>
        </w:tc>
        <w:tc>
          <w:tcPr>
            <w:tcW w:w="59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33FCFEE">
            <w:pPr>
              <w:spacing w:line="360" w:lineRule="auto"/>
              <w:jc w:val="center"/>
              <w:rPr>
                <w:rFonts w:hint="eastAsia" w:ascii="宋体" w:hAnsi="宋体" w:eastAsia="宋体" w:cs="宋体"/>
                <w:i w:val="0"/>
                <w:iCs w:val="0"/>
                <w:color w:val="000000"/>
                <w:sz w:val="18"/>
                <w:szCs w:val="18"/>
                <w:highlight w:val="none"/>
                <w:u w:val="none"/>
              </w:rPr>
            </w:pPr>
          </w:p>
        </w:tc>
        <w:tc>
          <w:tcPr>
            <w:tcW w:w="136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2368D41">
            <w:pPr>
              <w:keepNext w:val="0"/>
              <w:keepLines w:val="0"/>
              <w:widowControl/>
              <w:suppressLineNumbers w:val="0"/>
              <w:spacing w:line="360" w:lineRule="auto"/>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项目组成员   15分</w:t>
            </w:r>
          </w:p>
        </w:tc>
        <w:tc>
          <w:tcPr>
            <w:tcW w:w="5072" w:type="dxa"/>
            <w:tcBorders>
              <w:top w:val="single" w:color="000000" w:sz="8" w:space="0"/>
              <w:left w:val="single" w:color="000000" w:sz="8" w:space="0"/>
              <w:bottom w:val="nil"/>
              <w:right w:val="single" w:color="000000" w:sz="8" w:space="0"/>
            </w:tcBorders>
            <w:shd w:val="clear" w:color="auto" w:fill="auto"/>
            <w:vAlign w:val="center"/>
          </w:tcPr>
          <w:p w14:paraId="7DD57178">
            <w:pPr>
              <w:keepNext w:val="0"/>
              <w:keepLines w:val="0"/>
              <w:widowControl/>
              <w:suppressLineNumbers w:val="0"/>
              <w:spacing w:line="360" w:lineRule="auto"/>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（3）项目组其他成员资质（15分）</w:t>
            </w:r>
          </w:p>
        </w:tc>
        <w:tc>
          <w:tcPr>
            <w:tcW w:w="1438" w:type="dxa"/>
            <w:vMerge w:val="continue"/>
            <w:tcBorders>
              <w:top w:val="single" w:color="000000" w:sz="8" w:space="0"/>
              <w:left w:val="single" w:color="000000" w:sz="8" w:space="0"/>
              <w:bottom w:val="single" w:color="000000" w:sz="8" w:space="0"/>
            </w:tcBorders>
            <w:shd w:val="clear" w:color="auto" w:fill="auto"/>
            <w:vAlign w:val="center"/>
          </w:tcPr>
          <w:p w14:paraId="50411561">
            <w:pPr>
              <w:spacing w:line="360" w:lineRule="auto"/>
              <w:jc w:val="left"/>
              <w:rPr>
                <w:rFonts w:hint="eastAsia" w:ascii="宋体" w:hAnsi="宋体" w:eastAsia="宋体" w:cs="宋体"/>
                <w:i w:val="0"/>
                <w:iCs w:val="0"/>
                <w:color w:val="000000"/>
                <w:sz w:val="18"/>
                <w:szCs w:val="18"/>
                <w:highlight w:val="none"/>
                <w:u w:val="none"/>
              </w:rPr>
            </w:pPr>
          </w:p>
        </w:tc>
      </w:tr>
      <w:tr w14:paraId="7E0F8A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82" w:hRule="atLeast"/>
        </w:trPr>
        <w:tc>
          <w:tcPr>
            <w:tcW w:w="678" w:type="dxa"/>
            <w:vMerge w:val="continue"/>
            <w:tcBorders>
              <w:bottom w:val="single" w:color="000000" w:sz="8" w:space="0"/>
              <w:right w:val="single" w:color="000000" w:sz="8" w:space="0"/>
            </w:tcBorders>
            <w:shd w:val="clear" w:color="auto" w:fill="auto"/>
            <w:vAlign w:val="center"/>
          </w:tcPr>
          <w:p w14:paraId="7218145C">
            <w:pPr>
              <w:spacing w:line="360" w:lineRule="auto"/>
              <w:jc w:val="center"/>
              <w:rPr>
                <w:rFonts w:hint="eastAsia" w:ascii="宋体" w:hAnsi="宋体" w:eastAsia="宋体" w:cs="宋体"/>
                <w:i w:val="0"/>
                <w:iCs w:val="0"/>
                <w:color w:val="000000"/>
                <w:sz w:val="18"/>
                <w:szCs w:val="18"/>
                <w:highlight w:val="none"/>
                <w:u w:val="none"/>
              </w:rPr>
            </w:pPr>
          </w:p>
        </w:tc>
        <w:tc>
          <w:tcPr>
            <w:tcW w:w="67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A352B32">
            <w:pPr>
              <w:spacing w:line="360" w:lineRule="auto"/>
              <w:jc w:val="left"/>
              <w:rPr>
                <w:rFonts w:hint="eastAsia" w:ascii="宋体" w:hAnsi="宋体" w:eastAsia="宋体" w:cs="宋体"/>
                <w:i w:val="0"/>
                <w:iCs w:val="0"/>
                <w:color w:val="000000"/>
                <w:sz w:val="18"/>
                <w:szCs w:val="18"/>
                <w:highlight w:val="none"/>
                <w:u w:val="none"/>
              </w:rPr>
            </w:pPr>
          </w:p>
        </w:tc>
        <w:tc>
          <w:tcPr>
            <w:tcW w:w="59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BAF610E">
            <w:pPr>
              <w:spacing w:line="360" w:lineRule="auto"/>
              <w:jc w:val="center"/>
              <w:rPr>
                <w:rFonts w:hint="eastAsia" w:ascii="宋体" w:hAnsi="宋体" w:eastAsia="宋体" w:cs="宋体"/>
                <w:i w:val="0"/>
                <w:iCs w:val="0"/>
                <w:color w:val="000000"/>
                <w:sz w:val="18"/>
                <w:szCs w:val="18"/>
                <w:highlight w:val="none"/>
                <w:u w:val="none"/>
              </w:rPr>
            </w:pPr>
          </w:p>
        </w:tc>
        <w:tc>
          <w:tcPr>
            <w:tcW w:w="136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760FC34">
            <w:pPr>
              <w:spacing w:line="360" w:lineRule="auto"/>
              <w:jc w:val="center"/>
              <w:rPr>
                <w:rFonts w:hint="eastAsia" w:ascii="宋体" w:hAnsi="宋体" w:eastAsia="宋体" w:cs="宋体"/>
                <w:i w:val="0"/>
                <w:iCs w:val="0"/>
                <w:color w:val="000000"/>
                <w:sz w:val="18"/>
                <w:szCs w:val="18"/>
                <w:highlight w:val="none"/>
                <w:u w:val="none"/>
              </w:rPr>
            </w:pPr>
          </w:p>
        </w:tc>
        <w:tc>
          <w:tcPr>
            <w:tcW w:w="5072" w:type="dxa"/>
            <w:tcBorders>
              <w:top w:val="nil"/>
              <w:left w:val="single" w:color="000000" w:sz="8" w:space="0"/>
              <w:bottom w:val="single" w:color="000000" w:sz="8" w:space="0"/>
              <w:right w:val="single" w:color="000000" w:sz="8" w:space="0"/>
            </w:tcBorders>
            <w:shd w:val="clear" w:color="auto" w:fill="auto"/>
            <w:vAlign w:val="center"/>
          </w:tcPr>
          <w:p w14:paraId="010F7AFD">
            <w:pPr>
              <w:keepNext w:val="0"/>
              <w:keepLines w:val="0"/>
              <w:widowControl/>
              <w:suppressLineNumbers w:val="0"/>
              <w:spacing w:line="360" w:lineRule="auto"/>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投入本项目的项目团队人员（不含项目负责人）为注册会计师或者具有会计、经济或审计高级职称及以上的，每有1个得5分，项目团队人员（不含项目负责人）具有会计、经济或审计中级职称的，每有1个得3分；本项分值最高得15分。（注：同一人员具有两种及以上证书者，只计一证，且以得分较高者为准）</w:t>
            </w:r>
          </w:p>
        </w:tc>
        <w:tc>
          <w:tcPr>
            <w:tcW w:w="1438" w:type="dxa"/>
            <w:vMerge w:val="continue"/>
            <w:tcBorders>
              <w:top w:val="single" w:color="000000" w:sz="8" w:space="0"/>
              <w:left w:val="single" w:color="000000" w:sz="8" w:space="0"/>
              <w:bottom w:val="single" w:color="000000" w:sz="8" w:space="0"/>
            </w:tcBorders>
            <w:shd w:val="clear" w:color="auto" w:fill="auto"/>
            <w:vAlign w:val="center"/>
          </w:tcPr>
          <w:p w14:paraId="130FA81E">
            <w:pPr>
              <w:spacing w:line="360" w:lineRule="auto"/>
              <w:jc w:val="left"/>
              <w:rPr>
                <w:rFonts w:hint="eastAsia" w:ascii="宋体" w:hAnsi="宋体" w:eastAsia="宋体" w:cs="宋体"/>
                <w:i w:val="0"/>
                <w:iCs w:val="0"/>
                <w:color w:val="000000"/>
                <w:sz w:val="18"/>
                <w:szCs w:val="18"/>
                <w:highlight w:val="none"/>
                <w:u w:val="none"/>
              </w:rPr>
            </w:pPr>
          </w:p>
        </w:tc>
      </w:tr>
      <w:tr w14:paraId="1AEAA7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905" w:hRule="atLeast"/>
        </w:trPr>
        <w:tc>
          <w:tcPr>
            <w:tcW w:w="678" w:type="dxa"/>
            <w:vMerge w:val="restart"/>
            <w:tcBorders>
              <w:top w:val="single" w:color="000000" w:sz="8" w:space="0"/>
              <w:right w:val="single" w:color="000000" w:sz="8" w:space="0"/>
            </w:tcBorders>
            <w:shd w:val="clear" w:color="auto" w:fill="auto"/>
            <w:vAlign w:val="center"/>
          </w:tcPr>
          <w:p w14:paraId="793051E0">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w:t>
            </w:r>
          </w:p>
        </w:tc>
        <w:tc>
          <w:tcPr>
            <w:tcW w:w="67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BBF232A">
            <w:pPr>
              <w:keepNext w:val="0"/>
              <w:keepLines w:val="0"/>
              <w:widowControl/>
              <w:suppressLineNumbers w:val="0"/>
              <w:spacing w:line="360" w:lineRule="auto"/>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技术方案</w:t>
            </w:r>
          </w:p>
        </w:tc>
        <w:tc>
          <w:tcPr>
            <w:tcW w:w="59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B1611B1">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30分</w:t>
            </w:r>
          </w:p>
        </w:tc>
        <w:tc>
          <w:tcPr>
            <w:tcW w:w="13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461C16">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实施方案</w:t>
            </w:r>
            <w:r>
              <w:rPr>
                <w:rStyle w:val="248"/>
                <w:sz w:val="18"/>
                <w:szCs w:val="18"/>
                <w:highlight w:val="none"/>
                <w:lang w:val="en-US" w:eastAsia="zh-CN" w:bidi="ar"/>
              </w:rPr>
              <w:t xml:space="preserve">     </w:t>
            </w:r>
            <w:r>
              <w:rPr>
                <w:rStyle w:val="248"/>
                <w:rFonts w:hint="eastAsia"/>
                <w:sz w:val="18"/>
                <w:szCs w:val="18"/>
                <w:highlight w:val="none"/>
                <w:lang w:val="en-US" w:eastAsia="zh-CN" w:bidi="ar"/>
              </w:rPr>
              <w:t>15</w:t>
            </w:r>
            <w:r>
              <w:rPr>
                <w:rStyle w:val="248"/>
                <w:sz w:val="18"/>
                <w:szCs w:val="18"/>
                <w:highlight w:val="none"/>
                <w:lang w:val="en-US" w:eastAsia="zh-CN" w:bidi="ar"/>
              </w:rPr>
              <w:t>分</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4AD899">
            <w:pPr>
              <w:keepNext w:val="0"/>
              <w:keepLines w:val="0"/>
              <w:widowControl/>
              <w:suppressLineNumbers w:val="0"/>
              <w:spacing w:line="360" w:lineRule="auto"/>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供应商结合本项目的特点，提供完善、科学的实施方案，方案包含：①项目背景的认识②项目的服务范围和重点③审计思路④审计方法，</w:t>
            </w:r>
            <w:r>
              <w:rPr>
                <w:rFonts w:hint="eastAsia" w:ascii="宋体" w:hAnsi="宋体" w:cs="宋体"/>
                <w:i w:val="0"/>
                <w:iCs w:val="0"/>
                <w:color w:val="000000"/>
                <w:kern w:val="0"/>
                <w:sz w:val="18"/>
                <w:szCs w:val="18"/>
                <w:highlight w:val="none"/>
                <w:u w:val="none"/>
                <w:lang w:val="en-US" w:eastAsia="zh-CN" w:bidi="ar"/>
              </w:rPr>
              <w:t>⑤审计计划</w:t>
            </w:r>
            <w:r>
              <w:rPr>
                <w:rFonts w:hint="eastAsia" w:ascii="宋体" w:hAnsi="宋体" w:eastAsia="宋体" w:cs="宋体"/>
                <w:i w:val="0"/>
                <w:iCs w:val="0"/>
                <w:color w:val="000000"/>
                <w:kern w:val="0"/>
                <w:sz w:val="18"/>
                <w:szCs w:val="18"/>
                <w:highlight w:val="none"/>
                <w:u w:val="none"/>
                <w:lang w:val="en-US" w:eastAsia="zh-CN" w:bidi="ar"/>
              </w:rPr>
              <w:t>提供了完整、服务方案科学方案得</w:t>
            </w:r>
            <w:r>
              <w:rPr>
                <w:rFonts w:hint="eastAsia" w:ascii="宋体" w:hAnsi="宋体" w:cs="宋体"/>
                <w:i w:val="0"/>
                <w:iCs w:val="0"/>
                <w:color w:val="000000"/>
                <w:kern w:val="0"/>
                <w:sz w:val="18"/>
                <w:szCs w:val="18"/>
                <w:highlight w:val="none"/>
                <w:u w:val="none"/>
                <w:lang w:val="en-US" w:eastAsia="zh-CN" w:bidi="ar"/>
              </w:rPr>
              <w:t>15</w:t>
            </w:r>
            <w:r>
              <w:rPr>
                <w:rFonts w:hint="eastAsia" w:ascii="宋体" w:hAnsi="宋体" w:eastAsia="宋体" w:cs="宋体"/>
                <w:i w:val="0"/>
                <w:iCs w:val="0"/>
                <w:color w:val="000000"/>
                <w:kern w:val="0"/>
                <w:sz w:val="18"/>
                <w:szCs w:val="18"/>
                <w:highlight w:val="none"/>
                <w:u w:val="none"/>
                <w:lang w:val="en-US" w:eastAsia="zh-CN" w:bidi="ar"/>
              </w:rPr>
              <w:t>分。每缺少一项内容扣</w:t>
            </w:r>
            <w:r>
              <w:rPr>
                <w:rFonts w:hint="eastAsia" w:ascii="宋体" w:hAnsi="宋体" w:cs="宋体"/>
                <w:i w:val="0"/>
                <w:iCs w:val="0"/>
                <w:color w:val="000000"/>
                <w:kern w:val="0"/>
                <w:sz w:val="18"/>
                <w:szCs w:val="18"/>
                <w:highlight w:val="none"/>
                <w:u w:val="none"/>
                <w:lang w:val="en-US" w:eastAsia="zh-CN" w:bidi="ar"/>
              </w:rPr>
              <w:t>3</w:t>
            </w:r>
            <w:r>
              <w:rPr>
                <w:rFonts w:hint="eastAsia" w:ascii="宋体" w:hAnsi="宋体" w:eastAsia="宋体" w:cs="宋体"/>
                <w:i w:val="0"/>
                <w:iCs w:val="0"/>
                <w:color w:val="000000"/>
                <w:kern w:val="0"/>
                <w:sz w:val="18"/>
                <w:szCs w:val="18"/>
                <w:highlight w:val="none"/>
                <w:u w:val="none"/>
                <w:lang w:val="en-US" w:eastAsia="zh-CN" w:bidi="ar"/>
              </w:rPr>
              <w:t>分，每有一项内容不完整或内容不符合实际情况扣</w:t>
            </w:r>
            <w:r>
              <w:rPr>
                <w:rFonts w:hint="eastAsia" w:ascii="宋体" w:hAnsi="宋体" w:cs="宋体"/>
                <w:i w:val="0"/>
                <w:iCs w:val="0"/>
                <w:color w:val="000000"/>
                <w:kern w:val="0"/>
                <w:sz w:val="18"/>
                <w:szCs w:val="18"/>
                <w:highlight w:val="none"/>
                <w:u w:val="none"/>
                <w:lang w:val="en-US" w:eastAsia="zh-CN" w:bidi="ar"/>
              </w:rPr>
              <w:t>1.5</w:t>
            </w:r>
            <w:r>
              <w:rPr>
                <w:rFonts w:hint="eastAsia" w:ascii="宋体" w:hAnsi="宋体" w:eastAsia="宋体" w:cs="宋体"/>
                <w:i w:val="0"/>
                <w:iCs w:val="0"/>
                <w:color w:val="000000"/>
                <w:kern w:val="0"/>
                <w:sz w:val="18"/>
                <w:szCs w:val="18"/>
                <w:highlight w:val="none"/>
                <w:u w:val="none"/>
                <w:lang w:val="en-US" w:eastAsia="zh-CN" w:bidi="ar"/>
              </w:rPr>
              <w:t>分，扣完为止。</w:t>
            </w:r>
          </w:p>
        </w:tc>
        <w:tc>
          <w:tcPr>
            <w:tcW w:w="1438" w:type="dxa"/>
            <w:tcBorders>
              <w:top w:val="single" w:color="000000" w:sz="8" w:space="0"/>
              <w:left w:val="single" w:color="000000" w:sz="8" w:space="0"/>
              <w:bottom w:val="single" w:color="000000" w:sz="8" w:space="0"/>
            </w:tcBorders>
            <w:shd w:val="clear" w:color="auto" w:fill="auto"/>
            <w:vAlign w:val="center"/>
          </w:tcPr>
          <w:p w14:paraId="63B6AE9E">
            <w:pPr>
              <w:spacing w:line="360" w:lineRule="auto"/>
              <w:jc w:val="left"/>
              <w:rPr>
                <w:rFonts w:hint="eastAsia" w:ascii="宋体" w:hAnsi="宋体" w:eastAsia="宋体" w:cs="宋体"/>
                <w:i w:val="0"/>
                <w:iCs w:val="0"/>
                <w:color w:val="000000"/>
                <w:sz w:val="18"/>
                <w:szCs w:val="18"/>
                <w:highlight w:val="none"/>
                <w:u w:val="none"/>
              </w:rPr>
            </w:pPr>
          </w:p>
        </w:tc>
      </w:tr>
      <w:tr w14:paraId="5E536D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62" w:hRule="atLeast"/>
        </w:trPr>
        <w:tc>
          <w:tcPr>
            <w:tcW w:w="678" w:type="dxa"/>
            <w:vMerge w:val="continue"/>
            <w:tcBorders>
              <w:bottom w:val="single" w:color="000000" w:sz="8" w:space="0"/>
              <w:right w:val="single" w:color="000000" w:sz="8" w:space="0"/>
            </w:tcBorders>
            <w:shd w:val="clear" w:color="auto" w:fill="auto"/>
            <w:vAlign w:val="center"/>
          </w:tcPr>
          <w:p w14:paraId="0F4E46F8">
            <w:pPr>
              <w:spacing w:line="360" w:lineRule="auto"/>
              <w:jc w:val="center"/>
              <w:rPr>
                <w:rFonts w:hint="eastAsia" w:ascii="宋体" w:hAnsi="宋体" w:eastAsia="宋体" w:cs="宋体"/>
                <w:i w:val="0"/>
                <w:iCs w:val="0"/>
                <w:color w:val="000000"/>
                <w:sz w:val="18"/>
                <w:szCs w:val="18"/>
                <w:highlight w:val="none"/>
                <w:u w:val="none"/>
              </w:rPr>
            </w:pPr>
          </w:p>
        </w:tc>
        <w:tc>
          <w:tcPr>
            <w:tcW w:w="67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7FA1108">
            <w:pPr>
              <w:spacing w:line="360" w:lineRule="auto"/>
              <w:jc w:val="left"/>
              <w:rPr>
                <w:rFonts w:hint="eastAsia" w:ascii="宋体" w:hAnsi="宋体" w:eastAsia="宋体" w:cs="宋体"/>
                <w:i w:val="0"/>
                <w:iCs w:val="0"/>
                <w:color w:val="000000"/>
                <w:sz w:val="18"/>
                <w:szCs w:val="18"/>
                <w:highlight w:val="none"/>
                <w:u w:val="none"/>
              </w:rPr>
            </w:pPr>
          </w:p>
        </w:tc>
        <w:tc>
          <w:tcPr>
            <w:tcW w:w="59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D7294B0">
            <w:pPr>
              <w:spacing w:line="360" w:lineRule="auto"/>
              <w:jc w:val="center"/>
              <w:rPr>
                <w:rFonts w:hint="eastAsia" w:ascii="宋体" w:hAnsi="宋体" w:eastAsia="宋体" w:cs="宋体"/>
                <w:i w:val="0"/>
                <w:iCs w:val="0"/>
                <w:color w:val="000000"/>
                <w:sz w:val="18"/>
                <w:szCs w:val="18"/>
                <w:highlight w:val="none"/>
                <w:u w:val="none"/>
              </w:rPr>
            </w:pPr>
          </w:p>
        </w:tc>
        <w:tc>
          <w:tcPr>
            <w:tcW w:w="1366" w:type="dxa"/>
            <w:tcBorders>
              <w:top w:val="single" w:color="000000" w:sz="8" w:space="0"/>
              <w:left w:val="single" w:color="000000" w:sz="8" w:space="0"/>
              <w:bottom w:val="nil"/>
              <w:right w:val="single" w:color="000000" w:sz="8" w:space="0"/>
            </w:tcBorders>
            <w:shd w:val="clear" w:color="auto" w:fill="auto"/>
            <w:vAlign w:val="center"/>
          </w:tcPr>
          <w:p w14:paraId="2115C43D">
            <w:pPr>
              <w:keepNext w:val="0"/>
              <w:keepLines w:val="0"/>
              <w:widowControl/>
              <w:suppressLineNumbers w:val="0"/>
              <w:spacing w:line="360" w:lineRule="auto"/>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审计质量管理</w:t>
            </w:r>
            <w:r>
              <w:rPr>
                <w:rFonts w:hint="eastAsia" w:ascii="宋体" w:hAnsi="宋体" w:cs="宋体"/>
                <w:i w:val="0"/>
                <w:iCs w:val="0"/>
                <w:color w:val="000000"/>
                <w:kern w:val="0"/>
                <w:sz w:val="18"/>
                <w:szCs w:val="18"/>
                <w:highlight w:val="none"/>
                <w:u w:val="none"/>
                <w:lang w:val="en-US" w:eastAsia="zh-CN" w:bidi="ar"/>
              </w:rPr>
              <w:t>20分</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4A3857">
            <w:pPr>
              <w:keepNext w:val="0"/>
              <w:keepLines w:val="0"/>
              <w:widowControl/>
              <w:suppressLineNumbers w:val="0"/>
              <w:spacing w:line="360" w:lineRule="auto"/>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提供的审计质量管理方案至少包含以下几点：（1）岗位责任制度（2）质量控制（3）廉洁从审（4）保密管理制度。每有一项内容缺失扣5分，每有一项存在</w:t>
            </w:r>
            <w:r>
              <w:rPr>
                <w:rFonts w:hint="eastAsia" w:ascii="宋体" w:hAnsi="宋体" w:cs="宋体"/>
                <w:i w:val="0"/>
                <w:iCs w:val="0"/>
                <w:color w:val="000000"/>
                <w:kern w:val="0"/>
                <w:sz w:val="18"/>
                <w:szCs w:val="18"/>
                <w:highlight w:val="none"/>
                <w:u w:val="none"/>
                <w:lang w:val="en-US" w:eastAsia="zh-CN" w:bidi="ar"/>
              </w:rPr>
              <w:t>不足</w:t>
            </w:r>
            <w:r>
              <w:rPr>
                <w:rFonts w:hint="eastAsia" w:ascii="宋体" w:hAnsi="宋体" w:eastAsia="宋体" w:cs="宋体"/>
                <w:i w:val="0"/>
                <w:iCs w:val="0"/>
                <w:color w:val="000000"/>
                <w:kern w:val="0"/>
                <w:sz w:val="18"/>
                <w:szCs w:val="18"/>
                <w:highlight w:val="none"/>
                <w:u w:val="none"/>
                <w:lang w:val="en-US" w:eastAsia="zh-CN" w:bidi="ar"/>
              </w:rPr>
              <w:t>（存在不足指内容不完整或分析不到位或内容</w:t>
            </w:r>
            <w:r>
              <w:rPr>
                <w:rFonts w:hint="eastAsia" w:ascii="宋体" w:hAnsi="宋体" w:cs="宋体"/>
                <w:i w:val="0"/>
                <w:iCs w:val="0"/>
                <w:color w:val="000000"/>
                <w:kern w:val="0"/>
                <w:sz w:val="18"/>
                <w:szCs w:val="18"/>
                <w:highlight w:val="none"/>
                <w:u w:val="none"/>
                <w:lang w:val="en-US" w:eastAsia="zh-CN" w:bidi="ar"/>
              </w:rPr>
              <w:t>与本项目不相关</w:t>
            </w:r>
            <w:r>
              <w:rPr>
                <w:rFonts w:hint="eastAsia" w:ascii="宋体" w:hAnsi="宋体" w:eastAsia="宋体" w:cs="宋体"/>
                <w:i w:val="0"/>
                <w:iCs w:val="0"/>
                <w:color w:val="000000"/>
                <w:kern w:val="0"/>
                <w:sz w:val="18"/>
                <w:szCs w:val="18"/>
                <w:highlight w:val="none"/>
                <w:u w:val="none"/>
                <w:lang w:val="en-US" w:eastAsia="zh-CN" w:bidi="ar"/>
              </w:rPr>
              <w:t>）扣</w:t>
            </w:r>
            <w:r>
              <w:rPr>
                <w:rFonts w:hint="eastAsia" w:ascii="宋体" w:hAnsi="宋体" w:cs="宋体"/>
                <w:i w:val="0"/>
                <w:iCs w:val="0"/>
                <w:color w:val="000000"/>
                <w:kern w:val="0"/>
                <w:sz w:val="18"/>
                <w:szCs w:val="18"/>
                <w:highlight w:val="none"/>
                <w:u w:val="none"/>
                <w:lang w:val="en-US" w:eastAsia="zh-CN" w:bidi="ar"/>
              </w:rPr>
              <w:t>2.5</w:t>
            </w:r>
            <w:r>
              <w:rPr>
                <w:rFonts w:hint="eastAsia" w:ascii="宋体" w:hAnsi="宋体" w:eastAsia="宋体" w:cs="宋体"/>
                <w:i w:val="0"/>
                <w:iCs w:val="0"/>
                <w:color w:val="000000"/>
                <w:kern w:val="0"/>
                <w:sz w:val="18"/>
                <w:szCs w:val="18"/>
                <w:highlight w:val="none"/>
                <w:u w:val="none"/>
                <w:lang w:val="en-US" w:eastAsia="zh-CN" w:bidi="ar"/>
              </w:rPr>
              <w:t>分，扣完为止。</w:t>
            </w:r>
          </w:p>
        </w:tc>
        <w:tc>
          <w:tcPr>
            <w:tcW w:w="1438" w:type="dxa"/>
            <w:tcBorders>
              <w:top w:val="single" w:color="000000" w:sz="8" w:space="0"/>
              <w:left w:val="single" w:color="000000" w:sz="8" w:space="0"/>
              <w:bottom w:val="single" w:color="000000" w:sz="8" w:space="0"/>
            </w:tcBorders>
            <w:shd w:val="clear" w:color="auto" w:fill="auto"/>
            <w:vAlign w:val="center"/>
          </w:tcPr>
          <w:p w14:paraId="7FBA923F">
            <w:pPr>
              <w:spacing w:line="360" w:lineRule="auto"/>
              <w:jc w:val="left"/>
              <w:rPr>
                <w:rFonts w:hint="eastAsia" w:ascii="宋体" w:hAnsi="宋体" w:eastAsia="宋体" w:cs="宋体"/>
                <w:i w:val="0"/>
                <w:iCs w:val="0"/>
                <w:color w:val="000000"/>
                <w:sz w:val="18"/>
                <w:szCs w:val="18"/>
                <w:highlight w:val="none"/>
                <w:u w:val="none"/>
              </w:rPr>
            </w:pPr>
          </w:p>
        </w:tc>
      </w:tr>
      <w:tr w14:paraId="324F87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062" w:hRule="atLeast"/>
        </w:trPr>
        <w:tc>
          <w:tcPr>
            <w:tcW w:w="678" w:type="dxa"/>
            <w:vMerge w:val="restart"/>
            <w:tcBorders>
              <w:top w:val="single" w:color="000000" w:sz="8" w:space="0"/>
              <w:right w:val="single" w:color="000000" w:sz="8" w:space="0"/>
            </w:tcBorders>
            <w:shd w:val="clear" w:color="auto" w:fill="auto"/>
            <w:vAlign w:val="center"/>
          </w:tcPr>
          <w:p w14:paraId="40B698E6">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4</w:t>
            </w:r>
          </w:p>
        </w:tc>
        <w:tc>
          <w:tcPr>
            <w:tcW w:w="67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7CCC72B">
            <w:pPr>
              <w:keepNext w:val="0"/>
              <w:keepLines w:val="0"/>
              <w:widowControl/>
              <w:suppressLineNumbers w:val="0"/>
              <w:spacing w:line="360" w:lineRule="auto"/>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履约能 力证明 </w:t>
            </w:r>
          </w:p>
        </w:tc>
        <w:tc>
          <w:tcPr>
            <w:tcW w:w="597" w:type="dxa"/>
            <w:vMerge w:val="restart"/>
            <w:tcBorders>
              <w:top w:val="single" w:color="000000" w:sz="8" w:space="0"/>
              <w:left w:val="single" w:color="000000" w:sz="8" w:space="0"/>
              <w:bottom w:val="single" w:color="000000" w:sz="8" w:space="0"/>
              <w:right w:val="nil"/>
            </w:tcBorders>
            <w:shd w:val="clear" w:color="auto" w:fill="auto"/>
            <w:vAlign w:val="center"/>
          </w:tcPr>
          <w:p w14:paraId="34ED7987">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20分</w:t>
            </w:r>
          </w:p>
        </w:tc>
        <w:tc>
          <w:tcPr>
            <w:tcW w:w="1366" w:type="dxa"/>
            <w:tcBorders>
              <w:top w:val="single" w:color="000000" w:sz="8" w:space="0"/>
              <w:left w:val="single" w:color="000000" w:sz="8" w:space="0"/>
              <w:bottom w:val="nil"/>
              <w:right w:val="single" w:color="000000" w:sz="8" w:space="0"/>
            </w:tcBorders>
            <w:shd w:val="clear" w:color="auto" w:fill="auto"/>
            <w:vAlign w:val="center"/>
          </w:tcPr>
          <w:p w14:paraId="6B6281B8">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履约业绩    10分</w:t>
            </w:r>
          </w:p>
        </w:tc>
        <w:tc>
          <w:tcPr>
            <w:tcW w:w="5072" w:type="dxa"/>
            <w:tcBorders>
              <w:top w:val="single" w:color="000000" w:sz="8" w:space="0"/>
              <w:left w:val="nil"/>
              <w:bottom w:val="single" w:color="000000" w:sz="8" w:space="0"/>
              <w:right w:val="single" w:color="000000" w:sz="8" w:space="0"/>
            </w:tcBorders>
            <w:shd w:val="clear" w:color="auto" w:fill="auto"/>
            <w:vAlign w:val="center"/>
          </w:tcPr>
          <w:p w14:paraId="30B3AD8F">
            <w:pPr>
              <w:keepNext w:val="0"/>
              <w:keepLines w:val="0"/>
              <w:widowControl/>
              <w:suppressLineNumbers w:val="0"/>
              <w:spacing w:line="360" w:lineRule="auto"/>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投标人2023年1月1日（含）以来具有类似项目业绩的，每有1个得2分，本项最多得10分。</w:t>
            </w:r>
          </w:p>
        </w:tc>
        <w:tc>
          <w:tcPr>
            <w:tcW w:w="1438" w:type="dxa"/>
            <w:tcBorders>
              <w:top w:val="single" w:color="000000" w:sz="8" w:space="0"/>
              <w:left w:val="single" w:color="000000" w:sz="8" w:space="0"/>
              <w:bottom w:val="single" w:color="000000" w:sz="8" w:space="0"/>
            </w:tcBorders>
            <w:shd w:val="clear" w:color="auto" w:fill="auto"/>
            <w:vAlign w:val="center"/>
          </w:tcPr>
          <w:p w14:paraId="2CF25054">
            <w:pPr>
              <w:keepNext w:val="0"/>
              <w:keepLines w:val="0"/>
              <w:widowControl/>
              <w:suppressLineNumbers w:val="0"/>
              <w:spacing w:line="360" w:lineRule="auto"/>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提供合同复印件或项目审核报告复印件并加盖供应商公章，以合同签订时间或项目审核报告日期为准。若提供的合同或报告无日期，则视作无效业绩。</w:t>
            </w:r>
          </w:p>
        </w:tc>
      </w:tr>
      <w:tr w14:paraId="07CE70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7" w:hRule="atLeast"/>
        </w:trPr>
        <w:tc>
          <w:tcPr>
            <w:tcW w:w="678" w:type="dxa"/>
            <w:vMerge w:val="continue"/>
            <w:tcBorders>
              <w:right w:val="single" w:color="000000" w:sz="8" w:space="0"/>
            </w:tcBorders>
            <w:shd w:val="clear" w:color="auto" w:fill="auto"/>
            <w:vAlign w:val="center"/>
          </w:tcPr>
          <w:p w14:paraId="4DD44D97">
            <w:pPr>
              <w:spacing w:line="360" w:lineRule="auto"/>
              <w:jc w:val="left"/>
              <w:rPr>
                <w:rFonts w:hint="eastAsia" w:ascii="宋体" w:hAnsi="宋体" w:eastAsia="宋体" w:cs="宋体"/>
                <w:i w:val="0"/>
                <w:iCs w:val="0"/>
                <w:color w:val="000000"/>
                <w:sz w:val="18"/>
                <w:szCs w:val="18"/>
                <w:highlight w:val="none"/>
                <w:u w:val="none"/>
              </w:rPr>
            </w:pPr>
          </w:p>
        </w:tc>
        <w:tc>
          <w:tcPr>
            <w:tcW w:w="678" w:type="dxa"/>
            <w:vMerge w:val="continue"/>
            <w:tcBorders>
              <w:top w:val="single" w:color="000000" w:sz="8" w:space="0"/>
              <w:left w:val="single" w:color="000000" w:sz="8" w:space="0"/>
              <w:right w:val="single" w:color="000000" w:sz="8" w:space="0"/>
            </w:tcBorders>
            <w:shd w:val="clear" w:color="auto" w:fill="auto"/>
            <w:vAlign w:val="center"/>
          </w:tcPr>
          <w:p w14:paraId="019C57C9">
            <w:pPr>
              <w:spacing w:line="360" w:lineRule="auto"/>
              <w:jc w:val="left"/>
              <w:rPr>
                <w:rFonts w:hint="eastAsia" w:ascii="宋体" w:hAnsi="宋体" w:eastAsia="宋体" w:cs="宋体"/>
                <w:i w:val="0"/>
                <w:iCs w:val="0"/>
                <w:color w:val="000000"/>
                <w:sz w:val="18"/>
                <w:szCs w:val="18"/>
                <w:highlight w:val="none"/>
                <w:u w:val="none"/>
              </w:rPr>
            </w:pPr>
          </w:p>
        </w:tc>
        <w:tc>
          <w:tcPr>
            <w:tcW w:w="597" w:type="dxa"/>
            <w:vMerge w:val="continue"/>
            <w:tcBorders>
              <w:top w:val="single" w:color="000000" w:sz="8" w:space="0"/>
              <w:left w:val="single" w:color="000000" w:sz="8" w:space="0"/>
              <w:right w:val="nil"/>
            </w:tcBorders>
            <w:shd w:val="clear" w:color="auto" w:fill="auto"/>
            <w:vAlign w:val="center"/>
          </w:tcPr>
          <w:p w14:paraId="727D2E6F">
            <w:pPr>
              <w:spacing w:line="360" w:lineRule="auto"/>
              <w:jc w:val="center"/>
              <w:rPr>
                <w:rFonts w:hint="eastAsia" w:ascii="宋体" w:hAnsi="宋体" w:eastAsia="宋体" w:cs="宋体"/>
                <w:i w:val="0"/>
                <w:iCs w:val="0"/>
                <w:color w:val="000000"/>
                <w:sz w:val="18"/>
                <w:szCs w:val="18"/>
                <w:highlight w:val="none"/>
                <w:u w:val="none"/>
              </w:rPr>
            </w:pPr>
          </w:p>
        </w:tc>
        <w:tc>
          <w:tcPr>
            <w:tcW w:w="1366" w:type="dxa"/>
            <w:tcBorders>
              <w:top w:val="single" w:color="000000" w:sz="8" w:space="0"/>
              <w:left w:val="single" w:color="000000" w:sz="8" w:space="0"/>
              <w:right w:val="single" w:color="000000" w:sz="8" w:space="0"/>
            </w:tcBorders>
            <w:shd w:val="clear" w:color="auto" w:fill="auto"/>
            <w:vAlign w:val="center"/>
          </w:tcPr>
          <w:p w14:paraId="7994B680">
            <w:pPr>
              <w:keepNext w:val="0"/>
              <w:keepLines w:val="0"/>
              <w:widowControl/>
              <w:suppressLineNumbers w:val="0"/>
              <w:spacing w:line="360" w:lineRule="auto"/>
              <w:ind w:left="360" w:hanging="360" w:hangingChars="20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信用综合评价10分</w:t>
            </w:r>
          </w:p>
        </w:tc>
        <w:tc>
          <w:tcPr>
            <w:tcW w:w="5072" w:type="dxa"/>
            <w:tcBorders>
              <w:top w:val="single" w:color="000000" w:sz="8" w:space="0"/>
              <w:left w:val="nil"/>
              <w:right w:val="single" w:color="000000" w:sz="8" w:space="0"/>
            </w:tcBorders>
            <w:shd w:val="clear" w:color="auto" w:fill="auto"/>
            <w:vAlign w:val="center"/>
          </w:tcPr>
          <w:p w14:paraId="2EB298E0">
            <w:pPr>
              <w:keepNext w:val="0"/>
              <w:keepLines w:val="0"/>
              <w:widowControl/>
              <w:suppressLineNumbers w:val="0"/>
              <w:spacing w:line="360" w:lineRule="auto"/>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投标人在2023年-2025年四川省会计师事务所综合评价百家排名中任意一年的综合评价，排名前30名（含第30名）得10分，排名30-50名（含第50名）得5分，排名前50-100名（含第100名）得2分</w:t>
            </w:r>
            <w:r>
              <w:rPr>
                <w:rFonts w:hint="eastAsia" w:ascii="宋体" w:hAnsi="宋体" w:cs="宋体"/>
                <w:i w:val="0"/>
                <w:iCs w:val="0"/>
                <w:color w:val="000000"/>
                <w:kern w:val="0"/>
                <w:sz w:val="18"/>
                <w:szCs w:val="18"/>
                <w:highlight w:val="none"/>
                <w:u w:val="none"/>
                <w:lang w:val="en-US" w:eastAsia="zh-CN" w:bidi="ar"/>
              </w:rPr>
              <w:t>，未进入百家排名的供应商该分项的计分规则（得 0 分）</w:t>
            </w:r>
            <w:r>
              <w:rPr>
                <w:rFonts w:hint="eastAsia" w:ascii="宋体" w:hAnsi="宋体" w:eastAsia="宋体" w:cs="宋体"/>
                <w:i w:val="0"/>
                <w:iCs w:val="0"/>
                <w:color w:val="000000"/>
                <w:kern w:val="0"/>
                <w:sz w:val="18"/>
                <w:szCs w:val="18"/>
                <w:highlight w:val="none"/>
                <w:u w:val="none"/>
                <w:lang w:val="en-US" w:eastAsia="zh-CN" w:bidi="ar"/>
              </w:rPr>
              <w:t>。</w:t>
            </w:r>
          </w:p>
        </w:tc>
        <w:tc>
          <w:tcPr>
            <w:tcW w:w="1438" w:type="dxa"/>
            <w:tcBorders>
              <w:top w:val="single" w:color="000000" w:sz="8" w:space="0"/>
              <w:left w:val="single" w:color="000000" w:sz="8" w:space="0"/>
            </w:tcBorders>
            <w:shd w:val="clear" w:color="auto" w:fill="auto"/>
            <w:vAlign w:val="center"/>
          </w:tcPr>
          <w:p w14:paraId="65579D17">
            <w:pPr>
              <w:keepNext w:val="0"/>
              <w:keepLines w:val="0"/>
              <w:widowControl/>
              <w:suppressLineNumbers w:val="0"/>
              <w:spacing w:line="360" w:lineRule="auto"/>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提供相关证明文件</w:t>
            </w:r>
          </w:p>
        </w:tc>
      </w:tr>
    </w:tbl>
    <w:p w14:paraId="2843B075">
      <w:pPr>
        <w:rPr>
          <w:highlight w:val="none"/>
        </w:rPr>
      </w:pPr>
    </w:p>
    <w:p w14:paraId="32670BB0">
      <w:pPr>
        <w:spacing w:line="360" w:lineRule="auto"/>
        <w:ind w:firstLine="221" w:firstLineChars="100"/>
        <w:rPr>
          <w:rFonts w:ascii="仿宋" w:hAnsi="仿宋" w:eastAsia="仿宋" w:cs="仿宋"/>
          <w:b/>
          <w:sz w:val="22"/>
          <w:szCs w:val="16"/>
          <w:highlight w:val="none"/>
        </w:rPr>
      </w:pPr>
      <w:r>
        <w:rPr>
          <w:rFonts w:hint="eastAsia" w:ascii="仿宋" w:hAnsi="仿宋" w:eastAsia="仿宋" w:cs="仿宋"/>
          <w:b/>
          <w:kern w:val="1"/>
          <w:sz w:val="22"/>
          <w:szCs w:val="16"/>
          <w:highlight w:val="none"/>
        </w:rPr>
        <w:t>注：1）评分的取值按四舍五入法，保留小数点后两位。</w:t>
      </w:r>
    </w:p>
    <w:p w14:paraId="1875B15E">
      <w:pPr>
        <w:pStyle w:val="3"/>
        <w:ind w:firstLine="562"/>
        <w:rPr>
          <w:rFonts w:ascii="仿宋" w:hAnsi="仿宋" w:eastAsia="仿宋" w:cs="仿宋"/>
          <w:highlight w:val="none"/>
        </w:rPr>
      </w:pPr>
      <w:bookmarkStart w:id="83" w:name="_Toc217446060"/>
      <w:r>
        <w:rPr>
          <w:rFonts w:hint="eastAsia" w:ascii="仿宋" w:hAnsi="仿宋" w:eastAsia="仿宋" w:cs="仿宋"/>
          <w:highlight w:val="none"/>
        </w:rPr>
        <w:t xml:space="preserve">4. </w:t>
      </w:r>
      <w:r>
        <w:rPr>
          <w:rFonts w:hint="eastAsia" w:ascii="仿宋" w:hAnsi="仿宋" w:eastAsia="仿宋" w:cs="仿宋"/>
          <w:sz w:val="24"/>
          <w:szCs w:val="24"/>
          <w:highlight w:val="none"/>
        </w:rPr>
        <w:t>废标</w:t>
      </w:r>
    </w:p>
    <w:p w14:paraId="5CCD8F2A">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本次采购活动中，出现下列情形之一的，予以废标：</w:t>
      </w:r>
    </w:p>
    <w:p w14:paraId="7F8E549C">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（1）符合专业条件的比选申请人或者对比选文件作实质响应的比选申请人不足三家的</w:t>
      </w:r>
      <w:r>
        <w:rPr>
          <w:rFonts w:hint="eastAsia" w:ascii="仿宋" w:hAnsi="仿宋" w:eastAsia="仿宋" w:cs="仿宋"/>
          <w:sz w:val="24"/>
          <w:highlight w:val="none"/>
          <w:lang w:eastAsia="zh-CN"/>
        </w:rPr>
        <w:t>（</w:t>
      </w:r>
      <w:r>
        <w:rPr>
          <w:rFonts w:hint="eastAsia" w:ascii="仿宋" w:hAnsi="仿宋" w:eastAsia="仿宋" w:cs="仿宋"/>
          <w:sz w:val="24"/>
          <w:highlight w:val="none"/>
        </w:rPr>
        <w:t>《政府采购法》第 36 条</w:t>
      </w:r>
      <w:r>
        <w:rPr>
          <w:rFonts w:hint="eastAsia" w:ascii="仿宋" w:hAnsi="仿宋" w:eastAsia="仿宋" w:cs="仿宋"/>
          <w:sz w:val="24"/>
          <w:highlight w:val="none"/>
          <w:lang w:eastAsia="zh-CN"/>
        </w:rPr>
        <w:t>）</w:t>
      </w:r>
      <w:r>
        <w:rPr>
          <w:rFonts w:hint="eastAsia" w:ascii="仿宋" w:hAnsi="仿宋" w:eastAsia="仿宋" w:cs="仿宋"/>
          <w:sz w:val="24"/>
          <w:highlight w:val="none"/>
        </w:rPr>
        <w:t>；</w:t>
      </w:r>
    </w:p>
    <w:p w14:paraId="58D4F109">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（2）出现影响采购公正的违法、违规行为的；</w:t>
      </w:r>
    </w:p>
    <w:p w14:paraId="65099602">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（3）比选申请人的报价均超过了采购预算，采购人不能支付的；</w:t>
      </w:r>
    </w:p>
    <w:p w14:paraId="30AB2A53">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（4）因重大变故，采购任务取消的。</w:t>
      </w:r>
    </w:p>
    <w:p w14:paraId="6847FB86">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废标后，应在通知参与比选的比选申请人。</w:t>
      </w:r>
    </w:p>
    <w:p w14:paraId="4EC05D5B">
      <w:pPr>
        <w:pStyle w:val="3"/>
        <w:ind w:firstLine="482"/>
        <w:rPr>
          <w:rFonts w:ascii="仿宋" w:hAnsi="仿宋" w:eastAsia="仿宋" w:cs="仿宋"/>
          <w:sz w:val="24"/>
          <w:szCs w:val="24"/>
          <w:highlight w:val="none"/>
        </w:rPr>
      </w:pPr>
      <w:bookmarkStart w:id="84" w:name="_Toc449705611"/>
      <w:bookmarkStart w:id="85" w:name="_Toc449705550"/>
      <w:r>
        <w:rPr>
          <w:rFonts w:hint="eastAsia" w:ascii="仿宋" w:hAnsi="仿宋" w:eastAsia="仿宋" w:cs="仿宋"/>
          <w:sz w:val="24"/>
          <w:szCs w:val="24"/>
          <w:highlight w:val="none"/>
        </w:rPr>
        <w:t>5. 定标</w:t>
      </w:r>
      <w:bookmarkEnd w:id="83"/>
      <w:bookmarkEnd w:id="84"/>
      <w:bookmarkEnd w:id="85"/>
      <w:bookmarkStart w:id="86" w:name="_Toc217446061"/>
    </w:p>
    <w:bookmarkEnd w:id="86"/>
    <w:p w14:paraId="375D7FEB">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5.1. 定标原则：本项目根据比选小组推荐的中选候选人名单，按顺序确定中选人。</w:t>
      </w:r>
    </w:p>
    <w:p w14:paraId="67D739D6">
      <w:pPr>
        <w:spacing w:line="360" w:lineRule="auto"/>
        <w:ind w:firstLine="480" w:firstLineChars="200"/>
        <w:rPr>
          <w:rFonts w:ascii="仿宋" w:hAnsi="仿宋" w:eastAsia="仿宋" w:cs="仿宋"/>
          <w:sz w:val="24"/>
          <w:highlight w:val="none"/>
        </w:rPr>
      </w:pPr>
      <w:bookmarkStart w:id="87" w:name="_Toc217446062"/>
      <w:r>
        <w:rPr>
          <w:rFonts w:hint="eastAsia" w:ascii="仿宋" w:hAnsi="仿宋" w:eastAsia="仿宋" w:cs="仿宋"/>
          <w:sz w:val="24"/>
          <w:highlight w:val="none"/>
        </w:rPr>
        <w:t>5.2. 定标程序</w:t>
      </w:r>
      <w:bookmarkEnd w:id="87"/>
    </w:p>
    <w:p w14:paraId="3EA82D76">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5.2.1 比选小组将评审情况写出书面报告，推荐中选候选人，并按照综合得分高低标明排列顺序。综合得分相同的，按比选报价由低到高顺序排列。得分且比选报价相同的，按技术指标优劣顺序排列。</w:t>
      </w:r>
    </w:p>
    <w:p w14:paraId="12E0D57D">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5.2.2 在评审结束后五个工作日内将评审报告送采购人。</w:t>
      </w:r>
    </w:p>
    <w:p w14:paraId="12199267">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5.2.3 采购人在收到评审报告后五个工作日内，按照评审报告中推荐的中选候选人顺序确定中选人。</w:t>
      </w:r>
    </w:p>
    <w:p w14:paraId="3C4FA922">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注意，采购人按照推荐的中选候选人顺序确定中选人，不能认为采购人只能确定第一中选候选人为中选人，采购人有正当理由的，可以确定后一顺序中选候选人为中选人，依次类推。</w:t>
      </w:r>
    </w:p>
    <w:p w14:paraId="4E4F8ABF">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5.2.4 根据采购人确定的中选人，向中选人发出中选通知书。</w:t>
      </w:r>
    </w:p>
    <w:p w14:paraId="6AEE4F23">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5.2.5采购单位不解释中选或落标原因，不退回响应文件和其他比选资料。</w:t>
      </w:r>
    </w:p>
    <w:bookmarkEnd w:id="73"/>
    <w:p w14:paraId="32D03373">
      <w:pPr>
        <w:pStyle w:val="2"/>
        <w:pageBreakBefore/>
        <w:spacing w:beforeLines="0" w:afterLines="0" w:line="360" w:lineRule="auto"/>
        <w:rPr>
          <w:rFonts w:ascii="仿宋" w:hAnsi="仿宋" w:eastAsia="仿宋" w:cs="仿宋"/>
          <w:b/>
          <w:highlight w:val="none"/>
        </w:rPr>
      </w:pPr>
      <w:bookmarkStart w:id="88" w:name="_Toc502912095"/>
      <w:bookmarkStart w:id="89" w:name="_Toc18369"/>
      <w:r>
        <w:rPr>
          <w:rFonts w:hint="eastAsia" w:ascii="仿宋" w:hAnsi="仿宋" w:eastAsia="仿宋" w:cs="仿宋"/>
          <w:b/>
          <w:highlight w:val="none"/>
        </w:rPr>
        <w:t xml:space="preserve">第七章 </w:t>
      </w:r>
      <w:bookmarkEnd w:id="88"/>
      <w:r>
        <w:rPr>
          <w:rFonts w:hint="eastAsia" w:ascii="仿宋" w:hAnsi="仿宋" w:eastAsia="仿宋" w:cs="仿宋"/>
          <w:b/>
          <w:highlight w:val="none"/>
        </w:rPr>
        <w:t>合同主要条款（仅供参考）</w:t>
      </w:r>
      <w:bookmarkEnd w:id="89"/>
    </w:p>
    <w:p w14:paraId="60255847">
      <w:pPr>
        <w:widowControl/>
        <w:spacing w:line="360" w:lineRule="auto"/>
        <w:ind w:firstLine="480" w:firstLineChars="200"/>
        <w:jc w:val="left"/>
        <w:rPr>
          <w:rFonts w:ascii="仿宋" w:hAnsi="仿宋" w:eastAsia="仿宋" w:cs="仿宋"/>
          <w:sz w:val="24"/>
          <w:szCs w:val="24"/>
          <w:highlight w:val="none"/>
        </w:rPr>
      </w:pPr>
    </w:p>
    <w:p w14:paraId="5E2ADD57">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 xml:space="preserve">合同编号：XXXXX。 </w:t>
      </w:r>
    </w:p>
    <w:p w14:paraId="28705533">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签订地点：XXXXX。</w:t>
      </w:r>
    </w:p>
    <w:p w14:paraId="5A08BF72">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 xml:space="preserve">签订时间：XXXX年XX月XX日。 </w:t>
      </w:r>
    </w:p>
    <w:p w14:paraId="131D803E">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 xml:space="preserve">采购人（甲方）： </w:t>
      </w:r>
    </w:p>
    <w:p w14:paraId="6B755D16">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比选申请人（乙方）：</w:t>
      </w:r>
    </w:p>
    <w:p w14:paraId="14C62296">
      <w:pPr>
        <w:widowControl/>
        <w:spacing w:line="360" w:lineRule="auto"/>
        <w:ind w:firstLine="480" w:firstLineChars="200"/>
        <w:jc w:val="left"/>
        <w:rPr>
          <w:rFonts w:ascii="仿宋" w:hAnsi="仿宋" w:eastAsia="仿宋" w:cs="仿宋"/>
          <w:sz w:val="24"/>
          <w:szCs w:val="24"/>
          <w:highlight w:val="none"/>
        </w:rPr>
      </w:pPr>
    </w:p>
    <w:p w14:paraId="56519753">
      <w:pPr>
        <w:widowControl/>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参照《中华人民共和国民法典》、《中华人民共和国招标投标法》、《中华人民共和国招标投标法实施条例》、与项目行业有关的法律法规，以及项目（采购项目编号：</w:t>
      </w:r>
      <w:r>
        <w:rPr>
          <w:rFonts w:hint="eastAsia" w:ascii="仿宋" w:hAnsi="仿宋" w:eastAsia="仿宋" w:cs="仿宋"/>
          <w:sz w:val="24"/>
          <w:szCs w:val="24"/>
          <w:highlight w:val="none"/>
        </w:rPr>
        <w:tab/>
      </w:r>
      <w:r>
        <w:rPr>
          <w:rFonts w:hint="eastAsia" w:ascii="仿宋" w:hAnsi="仿宋" w:eastAsia="仿宋" w:cs="仿宋"/>
          <w:sz w:val="24"/>
          <w:szCs w:val="24"/>
          <w:highlight w:val="none"/>
        </w:rPr>
        <w:t>）的《比选文件》，乙方的《响应文件》及《中选通知书》，甲、乙双方同意签订本合同。详细技术说明及其他有关合同项目的特定信息由合同附件予以说明，合同附件及本项目的《比选文件》、《响应文件》、《中选通知书》等均为本合同的组成部分。</w:t>
      </w:r>
    </w:p>
    <w:p w14:paraId="7425A140">
      <w:pPr>
        <w:widowControl/>
        <w:numPr>
          <w:ilvl w:val="0"/>
          <w:numId w:val="20"/>
        </w:numPr>
        <w:spacing w:line="360" w:lineRule="auto"/>
        <w:jc w:val="left"/>
        <w:rPr>
          <w:rFonts w:ascii="仿宋" w:hAnsi="仿宋" w:eastAsia="仿宋" w:cs="仿宋"/>
          <w:b/>
          <w:sz w:val="24"/>
          <w:szCs w:val="24"/>
          <w:highlight w:val="none"/>
        </w:rPr>
      </w:pPr>
      <w:r>
        <w:rPr>
          <w:rFonts w:hint="eastAsia" w:ascii="仿宋" w:hAnsi="仿宋" w:eastAsia="仿宋" w:cs="仿宋"/>
          <w:b/>
          <w:sz w:val="24"/>
          <w:szCs w:val="24"/>
          <w:highlight w:val="none"/>
        </w:rPr>
        <w:t xml:space="preserve">  项目基本情况</w:t>
      </w:r>
    </w:p>
    <w:p w14:paraId="166B41D5">
      <w:pPr>
        <w:widowControl/>
        <w:numPr>
          <w:ilvl w:val="0"/>
          <w:numId w:val="20"/>
        </w:numPr>
        <w:spacing w:line="360" w:lineRule="auto"/>
        <w:jc w:val="left"/>
        <w:rPr>
          <w:rFonts w:ascii="仿宋" w:hAnsi="仿宋" w:eastAsia="仿宋" w:cs="仿宋"/>
          <w:b/>
          <w:sz w:val="24"/>
          <w:szCs w:val="24"/>
          <w:highlight w:val="none"/>
        </w:rPr>
      </w:pPr>
      <w:r>
        <w:rPr>
          <w:rFonts w:hint="eastAsia" w:ascii="仿宋" w:hAnsi="仿宋" w:eastAsia="仿宋" w:cs="仿宋"/>
          <w:b/>
          <w:sz w:val="24"/>
          <w:szCs w:val="24"/>
          <w:highlight w:val="none"/>
        </w:rPr>
        <w:t xml:space="preserve">  合同期限</w:t>
      </w:r>
    </w:p>
    <w:p w14:paraId="32EA1036">
      <w:pPr>
        <w:widowControl/>
        <w:spacing w:line="360" w:lineRule="auto"/>
        <w:ind w:firstLine="482" w:firstLineChars="200"/>
        <w:jc w:val="left"/>
        <w:rPr>
          <w:rFonts w:ascii="仿宋" w:hAnsi="仿宋" w:eastAsia="仿宋" w:cs="仿宋"/>
          <w:b/>
          <w:sz w:val="24"/>
          <w:szCs w:val="24"/>
          <w:highlight w:val="none"/>
        </w:rPr>
      </w:pPr>
      <w:r>
        <w:rPr>
          <w:rFonts w:hint="eastAsia" w:ascii="仿宋" w:hAnsi="仿宋" w:eastAsia="仿宋" w:cs="仿宋"/>
          <w:b/>
          <w:sz w:val="24"/>
          <w:szCs w:val="24"/>
          <w:highlight w:val="none"/>
        </w:rPr>
        <w:t>第三条</w:t>
      </w:r>
      <w:r>
        <w:rPr>
          <w:rFonts w:hint="eastAsia" w:ascii="仿宋" w:hAnsi="仿宋" w:eastAsia="仿宋" w:cs="仿宋"/>
          <w:b/>
          <w:sz w:val="24"/>
          <w:szCs w:val="24"/>
          <w:highlight w:val="none"/>
        </w:rPr>
        <w:tab/>
      </w:r>
      <w:r>
        <w:rPr>
          <w:rFonts w:hint="eastAsia" w:ascii="仿宋" w:hAnsi="仿宋" w:eastAsia="仿宋" w:cs="仿宋"/>
          <w:b/>
          <w:sz w:val="24"/>
          <w:szCs w:val="24"/>
          <w:highlight w:val="none"/>
        </w:rPr>
        <w:t xml:space="preserve">  服务内容与质量标准 </w:t>
      </w:r>
    </w:p>
    <w:p w14:paraId="45ABED69">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rPr>
        <w:tab/>
      </w:r>
      <w:r>
        <w:rPr>
          <w:rFonts w:hint="eastAsia" w:ascii="仿宋" w:hAnsi="仿宋" w:eastAsia="仿宋" w:cs="仿宋"/>
          <w:sz w:val="24"/>
          <w:szCs w:val="24"/>
          <w:highlight w:val="none"/>
        </w:rPr>
        <w:t>；</w:t>
      </w:r>
    </w:p>
    <w:p w14:paraId="61DF6307">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rPr>
        <w:tab/>
      </w:r>
      <w:r>
        <w:rPr>
          <w:rFonts w:hint="eastAsia" w:ascii="仿宋" w:hAnsi="仿宋" w:eastAsia="仿宋" w:cs="仿宋"/>
          <w:sz w:val="24"/>
          <w:szCs w:val="24"/>
          <w:highlight w:val="none"/>
        </w:rPr>
        <w:t>；</w:t>
      </w:r>
    </w:p>
    <w:p w14:paraId="3C1FD8AE">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rPr>
        <w:tab/>
      </w:r>
      <w:r>
        <w:rPr>
          <w:rFonts w:hint="eastAsia" w:ascii="仿宋" w:hAnsi="仿宋" w:eastAsia="仿宋" w:cs="仿宋"/>
          <w:sz w:val="24"/>
          <w:szCs w:val="24"/>
          <w:highlight w:val="none"/>
        </w:rPr>
        <w:t>．</w:t>
      </w:r>
    </w:p>
    <w:p w14:paraId="5EFF99A4">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w:t>
      </w:r>
    </w:p>
    <w:p w14:paraId="685F694D">
      <w:pPr>
        <w:widowControl/>
        <w:spacing w:line="360" w:lineRule="auto"/>
        <w:ind w:firstLine="482" w:firstLineChars="200"/>
        <w:jc w:val="left"/>
        <w:rPr>
          <w:rFonts w:ascii="仿宋" w:hAnsi="仿宋" w:eastAsia="仿宋" w:cs="仿宋"/>
          <w:b/>
          <w:sz w:val="24"/>
          <w:szCs w:val="24"/>
          <w:highlight w:val="none"/>
        </w:rPr>
      </w:pPr>
      <w:r>
        <w:rPr>
          <w:rFonts w:hint="eastAsia" w:ascii="仿宋" w:hAnsi="仿宋" w:eastAsia="仿宋" w:cs="仿宋"/>
          <w:b/>
          <w:sz w:val="24"/>
          <w:szCs w:val="24"/>
          <w:highlight w:val="none"/>
        </w:rPr>
        <w:t>第四条</w:t>
      </w:r>
      <w:r>
        <w:rPr>
          <w:rFonts w:hint="eastAsia" w:ascii="仿宋" w:hAnsi="仿宋" w:eastAsia="仿宋" w:cs="仿宋"/>
          <w:b/>
          <w:sz w:val="24"/>
          <w:szCs w:val="24"/>
          <w:highlight w:val="none"/>
        </w:rPr>
        <w:tab/>
      </w:r>
      <w:r>
        <w:rPr>
          <w:rFonts w:hint="eastAsia" w:ascii="仿宋" w:hAnsi="仿宋" w:eastAsia="仿宋" w:cs="仿宋"/>
          <w:b/>
          <w:sz w:val="24"/>
          <w:szCs w:val="24"/>
          <w:highlight w:val="none"/>
        </w:rPr>
        <w:t xml:space="preserve">  服务费用及支付方式 </w:t>
      </w:r>
    </w:p>
    <w:p w14:paraId="53D311DD">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 xml:space="preserve">(一)本项目服务费用由以下组成： </w:t>
      </w:r>
    </w:p>
    <w:p w14:paraId="6E03A335">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rPr>
        <w:tab/>
      </w:r>
      <w:r>
        <w:rPr>
          <w:rFonts w:hint="eastAsia" w:ascii="仿宋" w:hAnsi="仿宋" w:eastAsia="仿宋" w:cs="仿宋"/>
          <w:sz w:val="24"/>
          <w:szCs w:val="24"/>
          <w:highlight w:val="none"/>
        </w:rPr>
        <w:t>万元；</w:t>
      </w:r>
    </w:p>
    <w:p w14:paraId="0C7F37EF">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rPr>
        <w:tab/>
      </w:r>
      <w:r>
        <w:rPr>
          <w:rFonts w:hint="eastAsia" w:ascii="仿宋" w:hAnsi="仿宋" w:eastAsia="仿宋" w:cs="仿宋"/>
          <w:sz w:val="24"/>
          <w:szCs w:val="24"/>
          <w:highlight w:val="none"/>
        </w:rPr>
        <w:t>万元；</w:t>
      </w:r>
    </w:p>
    <w:p w14:paraId="79866455">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rPr>
        <w:tab/>
      </w:r>
      <w:r>
        <w:rPr>
          <w:rFonts w:hint="eastAsia" w:ascii="仿宋" w:hAnsi="仿宋" w:eastAsia="仿宋" w:cs="仿宋"/>
          <w:sz w:val="24"/>
          <w:szCs w:val="24"/>
          <w:highlight w:val="none"/>
        </w:rPr>
        <w:t>万元。</w:t>
      </w:r>
    </w:p>
    <w:p w14:paraId="22B2CBCC">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 xml:space="preserve">…… </w:t>
      </w:r>
    </w:p>
    <w:p w14:paraId="0218BD6A">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(二)服务费支付方式：（具体以合同签订时为准）</w:t>
      </w:r>
    </w:p>
    <w:p w14:paraId="01C97479">
      <w:pPr>
        <w:widowControl/>
        <w:spacing w:line="360" w:lineRule="auto"/>
        <w:ind w:firstLine="482" w:firstLineChars="200"/>
        <w:jc w:val="left"/>
        <w:rPr>
          <w:rFonts w:ascii="仿宋" w:hAnsi="仿宋" w:eastAsia="仿宋" w:cs="仿宋"/>
          <w:b/>
          <w:sz w:val="24"/>
          <w:szCs w:val="24"/>
          <w:highlight w:val="none"/>
        </w:rPr>
      </w:pPr>
      <w:r>
        <w:rPr>
          <w:rFonts w:hint="eastAsia" w:ascii="仿宋" w:hAnsi="仿宋" w:eastAsia="仿宋" w:cs="仿宋"/>
          <w:b/>
          <w:sz w:val="24"/>
          <w:szCs w:val="24"/>
          <w:highlight w:val="none"/>
        </w:rPr>
        <w:t>第五条  知识产权</w:t>
      </w:r>
    </w:p>
    <w:p w14:paraId="2C73A9B9">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乙方应保证所提供的服务或其任何一部分均不会侵犯任何第三方的专利权、商标权或著作权。</w:t>
      </w:r>
    </w:p>
    <w:p w14:paraId="608FB883">
      <w:pPr>
        <w:widowControl/>
        <w:spacing w:line="360" w:lineRule="auto"/>
        <w:ind w:firstLine="482" w:firstLineChars="200"/>
        <w:jc w:val="left"/>
        <w:rPr>
          <w:rFonts w:ascii="仿宋" w:hAnsi="仿宋" w:eastAsia="仿宋" w:cs="仿宋"/>
          <w:b/>
          <w:sz w:val="24"/>
          <w:szCs w:val="24"/>
          <w:highlight w:val="none"/>
        </w:rPr>
      </w:pPr>
      <w:r>
        <w:rPr>
          <w:rFonts w:hint="eastAsia" w:ascii="仿宋" w:hAnsi="仿宋" w:eastAsia="仿宋" w:cs="仿宋"/>
          <w:b/>
          <w:sz w:val="24"/>
          <w:szCs w:val="24"/>
          <w:highlight w:val="none"/>
        </w:rPr>
        <w:t xml:space="preserve">第六条  无产权瑕疵条款 </w:t>
      </w:r>
    </w:p>
    <w:p w14:paraId="2FFB6F39">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 xml:space="preserve">乙方保证所提供的服务的所有权完全属于乙方且无任何抵押、查封等产权瑕疵。如有产权瑕疵的，视为乙方违约。乙方应负担由此而产生的一切损失。 </w:t>
      </w:r>
    </w:p>
    <w:p w14:paraId="43DE3FB7">
      <w:pPr>
        <w:widowControl/>
        <w:spacing w:line="360" w:lineRule="auto"/>
        <w:ind w:firstLine="482" w:firstLineChars="200"/>
        <w:jc w:val="left"/>
        <w:rPr>
          <w:rFonts w:ascii="仿宋" w:hAnsi="仿宋" w:eastAsia="仿宋" w:cs="仿宋"/>
          <w:b/>
          <w:sz w:val="24"/>
          <w:szCs w:val="24"/>
          <w:highlight w:val="none"/>
        </w:rPr>
      </w:pPr>
      <w:r>
        <w:rPr>
          <w:rFonts w:hint="eastAsia" w:ascii="仿宋" w:hAnsi="仿宋" w:eastAsia="仿宋" w:cs="仿宋"/>
          <w:b/>
          <w:sz w:val="24"/>
          <w:szCs w:val="24"/>
          <w:highlight w:val="none"/>
        </w:rPr>
        <w:t>第七条</w:t>
      </w:r>
      <w:r>
        <w:rPr>
          <w:rFonts w:hint="eastAsia" w:ascii="仿宋" w:hAnsi="仿宋" w:eastAsia="仿宋" w:cs="仿宋"/>
          <w:b/>
          <w:sz w:val="24"/>
          <w:szCs w:val="24"/>
          <w:highlight w:val="none"/>
        </w:rPr>
        <w:tab/>
      </w:r>
      <w:r>
        <w:rPr>
          <w:rFonts w:hint="eastAsia" w:ascii="仿宋" w:hAnsi="仿宋" w:eastAsia="仿宋" w:cs="仿宋"/>
          <w:b/>
          <w:sz w:val="24"/>
          <w:szCs w:val="24"/>
          <w:highlight w:val="none"/>
        </w:rPr>
        <w:t xml:space="preserve">甲方的权利和义务 </w:t>
      </w:r>
    </w:p>
    <w:p w14:paraId="76A3AD32">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1、甲方有权对合同规定范围内乙方的服务行为进行监督和检查，拥有监管权。有权定期核对乙方提供服务所配备的人员数量。对甲方认为不合理的部分有权下达整改通知 书，并要求乙方限期整改。</w:t>
      </w:r>
    </w:p>
    <w:p w14:paraId="52AFF55F">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3、负责检查监督乙方管理工作的实施及制度的执行情况。</w:t>
      </w:r>
    </w:p>
    <w:p w14:paraId="3369488A">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4、根据本合同规定，按时向乙方支付应付服务费用。</w:t>
      </w:r>
    </w:p>
    <w:p w14:paraId="6B52838C">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 xml:space="preserve">5、国家法律、法规所规定由甲方承担的其它责任。 </w:t>
      </w:r>
    </w:p>
    <w:p w14:paraId="2B3CD759">
      <w:pPr>
        <w:widowControl/>
        <w:spacing w:line="360" w:lineRule="auto"/>
        <w:ind w:firstLine="482" w:firstLineChars="200"/>
        <w:jc w:val="left"/>
        <w:rPr>
          <w:rFonts w:ascii="仿宋" w:hAnsi="仿宋" w:eastAsia="仿宋" w:cs="仿宋"/>
          <w:b/>
          <w:sz w:val="24"/>
          <w:szCs w:val="24"/>
          <w:highlight w:val="none"/>
        </w:rPr>
      </w:pPr>
      <w:r>
        <w:rPr>
          <w:rFonts w:hint="eastAsia" w:ascii="仿宋" w:hAnsi="仿宋" w:eastAsia="仿宋" w:cs="仿宋"/>
          <w:b/>
          <w:sz w:val="24"/>
          <w:szCs w:val="24"/>
          <w:highlight w:val="none"/>
        </w:rPr>
        <w:t>第八条</w:t>
      </w:r>
      <w:r>
        <w:rPr>
          <w:rFonts w:hint="eastAsia" w:ascii="仿宋" w:hAnsi="仿宋" w:eastAsia="仿宋" w:cs="仿宋"/>
          <w:b/>
          <w:sz w:val="24"/>
          <w:szCs w:val="24"/>
          <w:highlight w:val="none"/>
        </w:rPr>
        <w:tab/>
      </w:r>
      <w:r>
        <w:rPr>
          <w:rFonts w:hint="eastAsia" w:ascii="仿宋" w:hAnsi="仿宋" w:eastAsia="仿宋" w:cs="仿宋"/>
          <w:b/>
          <w:sz w:val="24"/>
          <w:szCs w:val="24"/>
          <w:highlight w:val="none"/>
        </w:rPr>
        <w:t xml:space="preserve">  乙方的权利和义务</w:t>
      </w:r>
    </w:p>
    <w:p w14:paraId="4D16DB75">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1、对本合同规定的委托服务范围内的项目享有管理权及服务义务。</w:t>
      </w:r>
    </w:p>
    <w:p w14:paraId="1A558E72">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2、根据本合同的规定向甲方收取相关服务费用，并有权在本项目管理范围内管理及 合理使用。</w:t>
      </w:r>
    </w:p>
    <w:p w14:paraId="386B7859">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3、及时向甲方通告本项目服务范围内有关服务的重大事项，及时配合处理投诉。</w:t>
      </w:r>
    </w:p>
    <w:p w14:paraId="626DE63D">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4、接受项目行业管理部门及政府有关部门的指导，接受甲方的监督。</w:t>
      </w:r>
    </w:p>
    <w:p w14:paraId="43F8E2F5">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 xml:space="preserve">5、国家法律、法规所规定由乙方承担的其它责任。 </w:t>
      </w:r>
    </w:p>
    <w:p w14:paraId="192C4DBD">
      <w:pPr>
        <w:widowControl/>
        <w:spacing w:line="360" w:lineRule="auto"/>
        <w:ind w:firstLine="482" w:firstLineChars="200"/>
        <w:jc w:val="left"/>
        <w:rPr>
          <w:rFonts w:ascii="仿宋" w:hAnsi="仿宋" w:eastAsia="仿宋" w:cs="仿宋"/>
          <w:b/>
          <w:sz w:val="24"/>
          <w:szCs w:val="24"/>
          <w:highlight w:val="none"/>
        </w:rPr>
      </w:pPr>
      <w:r>
        <w:rPr>
          <w:rFonts w:hint="eastAsia" w:ascii="仿宋" w:hAnsi="仿宋" w:eastAsia="仿宋" w:cs="仿宋"/>
          <w:b/>
          <w:sz w:val="24"/>
          <w:szCs w:val="24"/>
          <w:highlight w:val="none"/>
        </w:rPr>
        <w:t>第九条  违约责任</w:t>
      </w:r>
    </w:p>
    <w:p w14:paraId="0B93C7D7">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1、甲乙双方必须遵守本合同并执行合同中的各项规定，保证本合同的正常履行。</w:t>
      </w:r>
    </w:p>
    <w:p w14:paraId="0E85FD34">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2、如因乙方工作人员在履行职务过程中的的疏忽、失职、过错等故意或者过失原因 给甲方造成损失或侵害，包括但不限于甲方本身的财产损失、由此而导致的甲方对任何第三方的法律责任等，乙方对此均应承担全部的赔偿责任。</w:t>
      </w:r>
    </w:p>
    <w:p w14:paraId="5F5F921F">
      <w:pPr>
        <w:widowControl/>
        <w:spacing w:line="360" w:lineRule="auto"/>
        <w:ind w:firstLine="482" w:firstLineChars="200"/>
        <w:jc w:val="left"/>
        <w:rPr>
          <w:rFonts w:ascii="仿宋" w:hAnsi="仿宋" w:eastAsia="仿宋" w:cs="仿宋"/>
          <w:b/>
          <w:sz w:val="24"/>
          <w:szCs w:val="24"/>
          <w:highlight w:val="none"/>
        </w:rPr>
      </w:pPr>
      <w:r>
        <w:rPr>
          <w:rFonts w:hint="eastAsia" w:ascii="仿宋" w:hAnsi="仿宋" w:eastAsia="仿宋" w:cs="仿宋"/>
          <w:b/>
          <w:sz w:val="24"/>
          <w:szCs w:val="24"/>
          <w:highlight w:val="none"/>
        </w:rPr>
        <w:t xml:space="preserve">第十条  不可抗力事件处理 </w:t>
      </w:r>
    </w:p>
    <w:p w14:paraId="6AE27EB6">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 xml:space="preserve">1、在合同有效期内，任何一方因不可抗力事件导致不能履行合同，则合同履行期可延长，其延长期与不可抗力影响期相同。 </w:t>
      </w:r>
    </w:p>
    <w:p w14:paraId="6F58DD47">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2、不可抗力事件发生后，应立即通知对方，并寄送有关权威机构出具的证明。</w:t>
      </w:r>
    </w:p>
    <w:p w14:paraId="6D7E9C1B">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3、不可抗力事件延续</w:t>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天以上，双方应通过友好协商，确定是否继续履行合同。 </w:t>
      </w:r>
    </w:p>
    <w:p w14:paraId="03BA6EFB">
      <w:pPr>
        <w:widowControl/>
        <w:spacing w:line="360" w:lineRule="auto"/>
        <w:ind w:firstLine="482" w:firstLineChars="200"/>
        <w:jc w:val="left"/>
        <w:rPr>
          <w:rFonts w:ascii="仿宋" w:hAnsi="仿宋" w:eastAsia="仿宋" w:cs="仿宋"/>
          <w:b/>
          <w:sz w:val="24"/>
          <w:szCs w:val="24"/>
          <w:highlight w:val="none"/>
        </w:rPr>
      </w:pPr>
      <w:r>
        <w:rPr>
          <w:rFonts w:hint="eastAsia" w:ascii="仿宋" w:hAnsi="仿宋" w:eastAsia="仿宋" w:cs="仿宋"/>
          <w:b/>
          <w:sz w:val="24"/>
          <w:szCs w:val="24"/>
          <w:highlight w:val="none"/>
        </w:rPr>
        <w:t xml:space="preserve">第十一条  解决合同纠纷的方式 </w:t>
      </w:r>
    </w:p>
    <w:p w14:paraId="1480D742">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 xml:space="preserve">1、在执行本合同中发生的或与本合同有关的争端，双方应通过友好协商解决，经协商在 XX 天内不能达成协议时，应提交项目所在地仲裁委员会仲裁。 </w:t>
      </w:r>
    </w:p>
    <w:p w14:paraId="658CEA35">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2、仲裁裁决应为最终决定，并对双方具有约束力。</w:t>
      </w:r>
    </w:p>
    <w:p w14:paraId="38890A34">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3、除另有裁决外，仲裁费应由败诉方负担。</w:t>
      </w:r>
    </w:p>
    <w:p w14:paraId="324B3B34">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 xml:space="preserve">4、在仲裁期间，除正在进行仲裁部分外，合同其他部分继续执行。 </w:t>
      </w:r>
    </w:p>
    <w:p w14:paraId="0B90AEDC">
      <w:pPr>
        <w:widowControl/>
        <w:spacing w:line="360" w:lineRule="auto"/>
        <w:ind w:firstLine="482" w:firstLineChars="200"/>
        <w:jc w:val="left"/>
        <w:rPr>
          <w:rFonts w:ascii="仿宋" w:hAnsi="仿宋" w:eastAsia="仿宋" w:cs="仿宋"/>
          <w:b/>
          <w:sz w:val="24"/>
          <w:szCs w:val="24"/>
          <w:highlight w:val="none"/>
        </w:rPr>
      </w:pPr>
      <w:r>
        <w:rPr>
          <w:rFonts w:hint="eastAsia" w:ascii="仿宋" w:hAnsi="仿宋" w:eastAsia="仿宋" w:cs="仿宋"/>
          <w:b/>
          <w:sz w:val="24"/>
          <w:szCs w:val="24"/>
          <w:highlight w:val="none"/>
        </w:rPr>
        <w:t>第十二条  合同生效及其他</w:t>
      </w:r>
    </w:p>
    <w:p w14:paraId="6F5EF353">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 xml:space="preserve">1、合同经双方法定代表人或授权委托代理人签字并加盖单位公章后生效。 </w:t>
      </w:r>
    </w:p>
    <w:p w14:paraId="4F18615C">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2、本合同一式肆份，自双方签章之日起起效。甲方二份，乙方一份，代理机构一份，具有同等法律效力。</w:t>
      </w:r>
    </w:p>
    <w:p w14:paraId="551CB423">
      <w:pPr>
        <w:widowControl/>
        <w:spacing w:line="360" w:lineRule="auto"/>
        <w:ind w:firstLine="482" w:firstLineChars="200"/>
        <w:jc w:val="left"/>
        <w:rPr>
          <w:rFonts w:ascii="仿宋" w:hAnsi="仿宋" w:eastAsia="仿宋" w:cs="仿宋"/>
          <w:b/>
          <w:sz w:val="24"/>
          <w:szCs w:val="24"/>
          <w:highlight w:val="none"/>
        </w:rPr>
      </w:pPr>
      <w:r>
        <w:rPr>
          <w:rFonts w:hint="eastAsia" w:ascii="仿宋" w:hAnsi="仿宋" w:eastAsia="仿宋" w:cs="仿宋"/>
          <w:b/>
          <w:sz w:val="24"/>
          <w:szCs w:val="24"/>
          <w:highlight w:val="none"/>
        </w:rPr>
        <w:t xml:space="preserve">第十三条 附件 </w:t>
      </w:r>
    </w:p>
    <w:p w14:paraId="70297A34">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1、项目比选文件</w:t>
      </w:r>
    </w:p>
    <w:p w14:paraId="5E541A20">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2、项目修改澄清文件</w:t>
      </w:r>
    </w:p>
    <w:p w14:paraId="583F1FBD">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3、项目响应文件</w:t>
      </w:r>
    </w:p>
    <w:p w14:paraId="3D54C523">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4、中选通知书</w:t>
      </w:r>
    </w:p>
    <w:p w14:paraId="5CB37299">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5、其他</w:t>
      </w:r>
    </w:p>
    <w:p w14:paraId="07F50694">
      <w:pPr>
        <w:widowControl/>
        <w:spacing w:line="360" w:lineRule="auto"/>
        <w:jc w:val="left"/>
        <w:rPr>
          <w:rFonts w:ascii="仿宋" w:hAnsi="仿宋" w:eastAsia="仿宋" w:cs="仿宋"/>
          <w:sz w:val="24"/>
          <w:szCs w:val="24"/>
          <w:highlight w:val="none"/>
        </w:rPr>
      </w:pPr>
    </w:p>
    <w:p w14:paraId="26AFA1B1">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甲方：</w:t>
      </w:r>
      <w:r>
        <w:rPr>
          <w:rFonts w:hint="eastAsia" w:ascii="仿宋" w:hAnsi="仿宋" w:eastAsia="仿宋" w:cs="仿宋"/>
          <w:sz w:val="24"/>
          <w:szCs w:val="24"/>
          <w:highlight w:val="none"/>
        </w:rPr>
        <w:tab/>
      </w:r>
      <w:r>
        <w:rPr>
          <w:rFonts w:hint="eastAsia" w:ascii="仿宋" w:hAnsi="仿宋" w:eastAsia="仿宋" w:cs="仿宋"/>
          <w:sz w:val="24"/>
          <w:szCs w:val="24"/>
          <w:highlight w:val="none"/>
        </w:rPr>
        <w:t>（盖章）</w:t>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                乙方：</w:t>
      </w:r>
      <w:r>
        <w:rPr>
          <w:rFonts w:hint="eastAsia" w:ascii="仿宋" w:hAnsi="仿宋" w:eastAsia="仿宋" w:cs="仿宋"/>
          <w:sz w:val="24"/>
          <w:szCs w:val="24"/>
          <w:highlight w:val="none"/>
        </w:rPr>
        <w:tab/>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（盖章） </w:t>
      </w:r>
    </w:p>
    <w:p w14:paraId="749B62DF">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法定代表人（授权代表）：</w:t>
      </w:r>
      <w:r>
        <w:rPr>
          <w:rFonts w:hint="eastAsia" w:ascii="仿宋" w:hAnsi="仿宋" w:eastAsia="仿宋" w:cs="仿宋"/>
          <w:sz w:val="24"/>
          <w:szCs w:val="24"/>
          <w:highlight w:val="none"/>
        </w:rPr>
        <w:tab/>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     法定代表人（授权代表）： </w:t>
      </w:r>
    </w:p>
    <w:p w14:paraId="146D237B">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地</w:t>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   址：</w:t>
      </w:r>
      <w:r>
        <w:rPr>
          <w:rFonts w:hint="eastAsia" w:ascii="仿宋" w:hAnsi="仿宋" w:eastAsia="仿宋" w:cs="仿宋"/>
          <w:sz w:val="24"/>
          <w:szCs w:val="24"/>
          <w:highlight w:val="none"/>
        </w:rPr>
        <w:tab/>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                 地</w:t>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 址：</w:t>
      </w:r>
    </w:p>
    <w:p w14:paraId="55063F4D">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开户银行：</w:t>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                   开户银行：</w:t>
      </w:r>
    </w:p>
    <w:p w14:paraId="652DB388">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账    号：                     账    号：</w:t>
      </w:r>
    </w:p>
    <w:p w14:paraId="6D5C00DE">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电</w:t>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   话：                     电</w:t>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 话：</w:t>
      </w:r>
    </w:p>
    <w:p w14:paraId="711ABE95">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传</w:t>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   真：                     传</w:t>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 真：</w:t>
      </w:r>
    </w:p>
    <w:p w14:paraId="5A6A304C">
      <w:pPr>
        <w:widowControl/>
        <w:autoSpaceDE w:val="0"/>
        <w:autoSpaceDN w:val="0"/>
        <w:adjustRightInd w:val="0"/>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签约日期：</w:t>
      </w:r>
      <w:r>
        <w:rPr>
          <w:rFonts w:hint="eastAsia" w:ascii="仿宋" w:hAnsi="仿宋" w:eastAsia="仿宋" w:cs="仿宋"/>
          <w:sz w:val="24"/>
          <w:szCs w:val="24"/>
          <w:highlight w:val="none"/>
        </w:rPr>
        <w:tab/>
      </w:r>
      <w:r>
        <w:rPr>
          <w:rFonts w:hint="eastAsia" w:ascii="仿宋" w:hAnsi="仿宋" w:eastAsia="仿宋" w:cs="仿宋"/>
          <w:sz w:val="24"/>
          <w:szCs w:val="24"/>
          <w:highlight w:val="none"/>
        </w:rPr>
        <w:t>年</w:t>
      </w:r>
      <w:r>
        <w:rPr>
          <w:rFonts w:hint="eastAsia" w:ascii="仿宋" w:hAnsi="仿宋" w:eastAsia="仿宋" w:cs="仿宋"/>
          <w:sz w:val="24"/>
          <w:szCs w:val="24"/>
          <w:highlight w:val="none"/>
        </w:rPr>
        <w:tab/>
      </w:r>
      <w:r>
        <w:rPr>
          <w:rFonts w:hint="eastAsia" w:ascii="仿宋" w:hAnsi="仿宋" w:eastAsia="仿宋" w:cs="仿宋"/>
          <w:sz w:val="24"/>
          <w:szCs w:val="24"/>
          <w:highlight w:val="none"/>
        </w:rPr>
        <w:t>月</w:t>
      </w:r>
      <w:r>
        <w:rPr>
          <w:rFonts w:hint="eastAsia" w:ascii="仿宋" w:hAnsi="仿宋" w:eastAsia="仿宋" w:cs="仿宋"/>
          <w:sz w:val="24"/>
          <w:szCs w:val="24"/>
          <w:highlight w:val="none"/>
        </w:rPr>
        <w:tab/>
      </w:r>
      <w:r>
        <w:rPr>
          <w:rFonts w:hint="eastAsia" w:ascii="仿宋" w:hAnsi="仿宋" w:eastAsia="仿宋" w:cs="仿宋"/>
          <w:sz w:val="24"/>
          <w:szCs w:val="24"/>
          <w:highlight w:val="none"/>
        </w:rPr>
        <w:t>日</w:t>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            签约日期：</w:t>
      </w:r>
      <w:r>
        <w:rPr>
          <w:rFonts w:hint="eastAsia" w:ascii="仿宋" w:hAnsi="仿宋" w:eastAsia="仿宋" w:cs="仿宋"/>
          <w:sz w:val="24"/>
          <w:szCs w:val="24"/>
          <w:highlight w:val="none"/>
        </w:rPr>
        <w:tab/>
      </w:r>
      <w:r>
        <w:rPr>
          <w:rFonts w:hint="eastAsia" w:ascii="仿宋" w:hAnsi="仿宋" w:eastAsia="仿宋" w:cs="仿宋"/>
          <w:sz w:val="24"/>
          <w:szCs w:val="24"/>
          <w:highlight w:val="none"/>
        </w:rPr>
        <w:t>年</w:t>
      </w:r>
      <w:r>
        <w:rPr>
          <w:rFonts w:hint="eastAsia" w:ascii="仿宋" w:hAnsi="仿宋" w:eastAsia="仿宋" w:cs="仿宋"/>
          <w:sz w:val="24"/>
          <w:szCs w:val="24"/>
          <w:highlight w:val="none"/>
        </w:rPr>
        <w:tab/>
      </w:r>
      <w:r>
        <w:rPr>
          <w:rFonts w:hint="eastAsia" w:ascii="仿宋" w:hAnsi="仿宋" w:eastAsia="仿宋" w:cs="仿宋"/>
          <w:sz w:val="24"/>
          <w:szCs w:val="24"/>
          <w:highlight w:val="none"/>
        </w:rPr>
        <w:t>月</w:t>
      </w:r>
      <w:r>
        <w:rPr>
          <w:rFonts w:hint="eastAsia" w:ascii="仿宋" w:hAnsi="仿宋" w:eastAsia="仿宋" w:cs="仿宋"/>
          <w:sz w:val="24"/>
          <w:szCs w:val="24"/>
          <w:highlight w:val="none"/>
        </w:rPr>
        <w:tab/>
      </w:r>
      <w:r>
        <w:rPr>
          <w:rFonts w:hint="eastAsia" w:ascii="仿宋" w:hAnsi="仿宋" w:eastAsia="仿宋" w:cs="仿宋"/>
          <w:sz w:val="24"/>
          <w:szCs w:val="24"/>
          <w:highlight w:val="none"/>
        </w:rPr>
        <w:t>日</w:t>
      </w:r>
    </w:p>
    <w:p w14:paraId="1CBCDD11">
      <w:pPr>
        <w:rPr>
          <w:rFonts w:ascii="仿宋" w:hAnsi="仿宋" w:eastAsia="仿宋" w:cs="仿宋"/>
          <w:highlight w:val="none"/>
        </w:rPr>
      </w:pPr>
      <w:r>
        <w:rPr>
          <w:rFonts w:hint="eastAsia" w:ascii="仿宋" w:hAnsi="仿宋" w:eastAsia="仿宋" w:cs="仿宋"/>
          <w:b/>
          <w:bCs/>
          <w:sz w:val="24"/>
          <w:szCs w:val="24"/>
          <w:highlight w:val="none"/>
        </w:rPr>
        <w:t>注：合同具体条款在合同签订时另行商定。</w:t>
      </w:r>
    </w:p>
    <w:sectPr>
      <w:headerReference r:id="rId16" w:type="default"/>
      <w:footerReference r:id="rId17" w:type="default"/>
      <w:pgSz w:w="11907" w:h="16840"/>
      <w:pgMar w:top="1440" w:right="1800" w:bottom="1440" w:left="1800" w:header="851" w:footer="850"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panose1 w:val="02010609030101010101"/>
    <w:charset w:val="86"/>
    <w:family w:val="modern"/>
    <w:pitch w:val="default"/>
    <w:sig w:usb0="00000001" w:usb1="080E0000" w:usb2="00000000" w:usb3="00000000" w:csb0="00040000" w:csb1="00000000"/>
    <w:embedRegular r:id="rId1" w:fontKey="{C0F1683D-0BE3-408C-9A5D-C4C70C3BE57F}"/>
  </w:font>
  <w:font w:name="Arial Unicode MS">
    <w:altName w:val="宋体"/>
    <w:panose1 w:val="020B0604020202020204"/>
    <w:charset w:val="86"/>
    <w:family w:val="swiss"/>
    <w:pitch w:val="default"/>
    <w:sig w:usb0="00000000" w:usb1="00000000" w:usb2="0000003F" w:usb3="00000000" w:csb0="603F01FF" w:csb1="FFFF0000"/>
  </w:font>
  <w:font w:name="方正仿宋简体">
    <w:panose1 w:val="02000000000000000000"/>
    <w:charset w:val="86"/>
    <w:family w:val="script"/>
    <w:pitch w:val="default"/>
    <w:sig w:usb0="A00002BF" w:usb1="184F6CFA" w:usb2="00000012"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文鼎粗黑">
    <w:altName w:val="黑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D9D21444-226E-4886-924A-E8977299825C}"/>
  </w:font>
  <w:font w:name="微软雅黑">
    <w:panose1 w:val="020B0503020204020204"/>
    <w:charset w:val="86"/>
    <w:family w:val="auto"/>
    <w:pitch w:val="default"/>
    <w:sig w:usb0="80000287" w:usb1="2ACF3C50" w:usb2="00000016" w:usb3="00000000" w:csb0="0004001F" w:csb1="00000000"/>
    <w:embedRegular r:id="rId3" w:fontKey="{BAEBD13B-2B57-454A-BCD8-958151EE3420}"/>
  </w:font>
  <w:font w:name="方正公文小标宋">
    <w:panose1 w:val="02000500000000000000"/>
    <w:charset w:val="86"/>
    <w:family w:val="auto"/>
    <w:pitch w:val="default"/>
    <w:sig w:usb0="A00002BF" w:usb1="38CF7CFA" w:usb2="00000016" w:usb3="00000000" w:csb0="00040001" w:csb1="00000000"/>
    <w:embedRegular r:id="rId4" w:fontKey="{C5410EA2-3624-49F3-8B8F-0CF5A272DEE7}"/>
  </w:font>
  <w:font w:name="方正仿宋_GB2312">
    <w:panose1 w:val="02000000000000000000"/>
    <w:charset w:val="86"/>
    <w:family w:val="auto"/>
    <w:pitch w:val="default"/>
    <w:sig w:usb0="A00002BF" w:usb1="184F6CFA" w:usb2="00000012" w:usb3="00000000" w:csb0="00040001" w:csb1="00000000"/>
    <w:embedRegular r:id="rId5" w:fontKey="{5D8386D9-30F1-46EA-9AC9-0FCF1147E2E1}"/>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82CCE">
    <w:pPr>
      <w:pStyle w:val="35"/>
      <w:pBdr>
        <w:top w:val="single" w:color="auto" w:sz="4" w:space="1"/>
      </w:pBdr>
      <w:wordWrap w:val="0"/>
      <w:jc w:val="right"/>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BC313EC">
                          <w:pPr>
                            <w:pStyle w:val="35"/>
                            <w:pBdr>
                              <w:top w:val="single" w:color="auto" w:sz="4" w:space="1"/>
                            </w:pBdr>
                            <w:wordWrap w:val="0"/>
                            <w:jc w:val="right"/>
                          </w:pPr>
                          <w:r>
                            <w:rPr>
                              <w:rFonts w:hint="eastAsia"/>
                            </w:rPr>
                            <w:t xml:space="preserve">地址：成都市高新区盛安街401号凯旋南城A座2203-2204     联系电话028-65731881/86661810             </w:t>
                          </w:r>
                          <w:r>
                            <w:fldChar w:fldCharType="begin"/>
                          </w:r>
                          <w:r>
                            <w:instrText xml:space="preserve">PAGE   \* MERGEFORMAT</w:instrText>
                          </w:r>
                          <w:r>
                            <w:fldChar w:fldCharType="separate"/>
                          </w:r>
                          <w:r>
                            <w:rPr>
                              <w:lang w:val="zh-CN"/>
                            </w:rPr>
                            <w:t>2</w:t>
                          </w:r>
                          <w:r>
                            <w:rPr>
                              <w:lang w:val="zh-CN"/>
                            </w:rPr>
                            <w:fldChar w:fldCharType="end"/>
                          </w:r>
                        </w:p>
                        <w:p w14:paraId="2C53A29E">
                          <w:pPr>
                            <w:pStyle w:val="22"/>
                          </w:pPr>
                        </w:p>
                      </w:txbxContent>
                    </wps:txbx>
                    <wps:bodyPr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RinD7eIBAADMAwAADgAA&#10;AAAAAAABACAAAAAeAQAAZHJzL2Uyb0RvYy54bWxQSwUGAAAAAAYABgBZAQAAcgUAAAAA&#10;">
              <v:fill on="f" focussize="0,0"/>
              <v:stroke on="f"/>
              <v:imagedata o:title=""/>
              <o:lock v:ext="edit" aspectratio="f"/>
              <v:textbox inset="0mm,0mm,0mm,0mm" style="mso-fit-shape-to-text:t;">
                <w:txbxContent>
                  <w:p w14:paraId="5BC313EC">
                    <w:pPr>
                      <w:pStyle w:val="35"/>
                      <w:pBdr>
                        <w:top w:val="single" w:color="auto" w:sz="4" w:space="1"/>
                      </w:pBdr>
                      <w:wordWrap w:val="0"/>
                      <w:jc w:val="right"/>
                    </w:pPr>
                    <w:r>
                      <w:rPr>
                        <w:rFonts w:hint="eastAsia"/>
                      </w:rPr>
                      <w:t xml:space="preserve">地址：成都市高新区盛安街401号凯旋南城A座2203-2204     联系电话028-65731881/86661810             </w:t>
                    </w:r>
                    <w:r>
                      <w:fldChar w:fldCharType="begin"/>
                    </w:r>
                    <w:r>
                      <w:instrText xml:space="preserve">PAGE   \* MERGEFORMAT</w:instrText>
                    </w:r>
                    <w:r>
                      <w:fldChar w:fldCharType="separate"/>
                    </w:r>
                    <w:r>
                      <w:rPr>
                        <w:lang w:val="zh-CN"/>
                      </w:rPr>
                      <w:t>2</w:t>
                    </w:r>
                    <w:r>
                      <w:rPr>
                        <w:lang w:val="zh-CN"/>
                      </w:rPr>
                      <w:fldChar w:fldCharType="end"/>
                    </w:r>
                  </w:p>
                  <w:p w14:paraId="2C53A29E">
                    <w:pPr>
                      <w:pStyle w:val="22"/>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053BE">
    <w:pPr>
      <w:pStyle w:val="35"/>
      <w:pBdr>
        <w:top w:val="single" w:color="auto" w:sz="4" w:space="1"/>
      </w:pBdr>
      <w:wordWrap w:val="0"/>
      <w:ind w:right="360"/>
      <w:rPr>
        <w:rStyle w:val="63"/>
      </w:rPr>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C3B736E">
                          <w:pPr>
                            <w:pStyle w:val="35"/>
                            <w:pBdr>
                              <w:top w:val="single" w:color="auto" w:sz="4" w:space="1"/>
                            </w:pBdr>
                            <w:wordWrap w:val="0"/>
                            <w:ind w:right="360"/>
                          </w:pPr>
                          <w:r>
                            <w:rPr>
                              <w:rFonts w:hint="eastAsia"/>
                            </w:rPr>
                            <w:t xml:space="preserve">地址：成都市高新区盛安街401号凯旋南城A座2203-2204   </w:t>
                          </w:r>
                          <w:r>
                            <w:t xml:space="preserve">  </w:t>
                          </w:r>
                          <w:r>
                            <w:rPr>
                              <w:rFonts w:hint="eastAsia"/>
                            </w:rPr>
                            <w:t xml:space="preserve"> </w:t>
                          </w:r>
                          <w:r>
                            <w:t xml:space="preserve">      </w:t>
                          </w:r>
                          <w:r>
                            <w:rPr>
                              <w:rFonts w:hint="eastAsia"/>
                            </w:rPr>
                            <w:t xml:space="preserve">联系电话028-65731881/86661810 </w:t>
                          </w:r>
                          <w:r>
                            <w:fldChar w:fldCharType="begin"/>
                          </w:r>
                          <w:r>
                            <w:instrText xml:space="preserve">PAGE   \* MERGEFORMAT</w:instrText>
                          </w:r>
                          <w:r>
                            <w:fldChar w:fldCharType="separate"/>
                          </w:r>
                          <w:r>
                            <w:rPr>
                              <w:lang w:val="zh-CN"/>
                            </w:rPr>
                            <w:t>1</w:t>
                          </w:r>
                          <w:r>
                            <w:rPr>
                              <w:lang w:val="zh-CN"/>
                            </w:rPr>
                            <w:fldChar w:fldCharType="end"/>
                          </w:r>
                          <w:r>
                            <w:rPr>
                              <w:rFonts w:hint="eastAsia"/>
                            </w:rPr>
                            <w:t xml:space="preserve"> </w:t>
                          </w:r>
                        </w:p>
                        <w:p w14:paraId="478610E9">
                          <w:pPr>
                            <w:pStyle w:val="22"/>
                          </w:pP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HS1kq+IBAADMAwAADgAA&#10;AAAAAAABACAAAAAeAQAAZHJzL2Uyb0RvYy54bWxQSwUGAAAAAAYABgBZAQAAcgUAAAAA&#10;">
              <v:fill on="f" focussize="0,0"/>
              <v:stroke on="f"/>
              <v:imagedata o:title=""/>
              <o:lock v:ext="edit" aspectratio="f"/>
              <v:textbox inset="0mm,0mm,0mm,0mm" style="mso-fit-shape-to-text:t;">
                <w:txbxContent>
                  <w:p w14:paraId="0C3B736E">
                    <w:pPr>
                      <w:pStyle w:val="35"/>
                      <w:pBdr>
                        <w:top w:val="single" w:color="auto" w:sz="4" w:space="1"/>
                      </w:pBdr>
                      <w:wordWrap w:val="0"/>
                      <w:ind w:right="360"/>
                    </w:pPr>
                    <w:r>
                      <w:rPr>
                        <w:rFonts w:hint="eastAsia"/>
                      </w:rPr>
                      <w:t xml:space="preserve">地址：成都市高新区盛安街401号凯旋南城A座2203-2204   </w:t>
                    </w:r>
                    <w:r>
                      <w:t xml:space="preserve">  </w:t>
                    </w:r>
                    <w:r>
                      <w:rPr>
                        <w:rFonts w:hint="eastAsia"/>
                      </w:rPr>
                      <w:t xml:space="preserve"> </w:t>
                    </w:r>
                    <w:r>
                      <w:t xml:space="preserve">      </w:t>
                    </w:r>
                    <w:r>
                      <w:rPr>
                        <w:rFonts w:hint="eastAsia"/>
                      </w:rPr>
                      <w:t xml:space="preserve">联系电话028-65731881/86661810 </w:t>
                    </w:r>
                    <w:r>
                      <w:fldChar w:fldCharType="begin"/>
                    </w:r>
                    <w:r>
                      <w:instrText xml:space="preserve">PAGE   \* MERGEFORMAT</w:instrText>
                    </w:r>
                    <w:r>
                      <w:fldChar w:fldCharType="separate"/>
                    </w:r>
                    <w:r>
                      <w:rPr>
                        <w:lang w:val="zh-CN"/>
                      </w:rPr>
                      <w:t>1</w:t>
                    </w:r>
                    <w:r>
                      <w:rPr>
                        <w:lang w:val="zh-CN"/>
                      </w:rPr>
                      <w:fldChar w:fldCharType="end"/>
                    </w:r>
                    <w:r>
                      <w:rPr>
                        <w:rFonts w:hint="eastAsia"/>
                      </w:rPr>
                      <w:t xml:space="preserve"> </w:t>
                    </w:r>
                  </w:p>
                  <w:p w14:paraId="478610E9">
                    <w:pPr>
                      <w:pStyle w:val="22"/>
                    </w:pPr>
                  </w:p>
                </w:txbxContent>
              </v:textbox>
            </v:shape>
          </w:pict>
        </mc:Fallback>
      </mc:AlternateContent>
    </w:r>
  </w:p>
  <w:p w14:paraId="697CDE70">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A4FB2">
    <w:pPr>
      <w:pStyle w:val="35"/>
      <w:pBdr>
        <w:top w:val="single" w:color="auto" w:sz="4" w:space="1"/>
      </w:pBdr>
      <w:tabs>
        <w:tab w:val="right" w:pos="8364"/>
        <w:tab w:val="clear" w:pos="8306"/>
      </w:tabs>
      <w:wordWrap w:val="0"/>
      <w:ind w:right="43"/>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832EC22">
                          <w:pPr>
                            <w:pStyle w:val="3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0Pv/oyAgAAYwQAAA4AAABkcnMvZTJvRG9jLnhtbK1UzY7TMBC+I/EO&#10;lu80aWFX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reRHla62eIerCIC91b02FohnuPy8i6q5yKv+BD4Ie4x4u4oguEx0fTyXSaw8XhGw7Azx6f&#10;W+fDO2EUiUZBHbqXRGWHjQ996BASs2mzbqRMHZSatAW9fn2V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7Q+/+jICAABjBAAADgAAAAAAAAABACAAAAAfAQAAZHJzL2Uyb0RvYy54bWxQSwUG&#10;AAAAAAYABgBZAQAAwwUAAAAA&#10;">
              <v:fill on="f" focussize="0,0"/>
              <v:stroke on="f" weight="0.5pt"/>
              <v:imagedata o:title=""/>
              <o:lock v:ext="edit" aspectratio="f"/>
              <v:textbox inset="0mm,0mm,0mm,0mm" style="mso-fit-shape-to-text:t;">
                <w:txbxContent>
                  <w:p w14:paraId="0832EC22">
                    <w:pPr>
                      <w:pStyle w:val="35"/>
                    </w:pPr>
                    <w:r>
                      <w:fldChar w:fldCharType="begin"/>
                    </w:r>
                    <w:r>
                      <w:instrText xml:space="preserve"> PAGE  \* MERGEFORMAT </w:instrText>
                    </w:r>
                    <w:r>
                      <w:fldChar w:fldCharType="separate"/>
                    </w:r>
                    <w:r>
                      <w:t>4</w:t>
                    </w:r>
                    <w:r>
                      <w:fldChar w:fldCharType="end"/>
                    </w:r>
                  </w:p>
                </w:txbxContent>
              </v:textbox>
            </v:shape>
          </w:pict>
        </mc:Fallback>
      </mc:AlternateContent>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85911">
    <w:pPr>
      <w:pStyle w:val="35"/>
      <w:pBdr>
        <w:top w:val="single" w:color="auto" w:sz="4" w:space="1"/>
      </w:pBdr>
      <w:wordWrap w:val="0"/>
      <w:jc w:val="both"/>
    </w:pPr>
    <w: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E8CCF97">
                          <w:pPr>
                            <w:pStyle w:val="3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WTfsxAgAAZ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mD3Lwlbv&#10;LI/QUR5vV8cAOZPKUZROCXQnbjB9qU/9S4nj/ec+RT3+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1Fk37MQIAAGUEAAAOAAAAAAAAAAEAIAAAAB8BAABkcnMvZTJvRG9jLnhtbFBLBQYA&#10;AAAABgAGAFkBAADCBQAAAAA=&#10;">
              <v:fill on="f" focussize="0,0"/>
              <v:stroke on="f" weight="0.5pt"/>
              <v:imagedata o:title=""/>
              <o:lock v:ext="edit" aspectratio="f"/>
              <v:textbox inset="0mm,0mm,0mm,0mm" style="mso-fit-shape-to-text:t;">
                <w:txbxContent>
                  <w:p w14:paraId="4E8CCF97">
                    <w:pPr>
                      <w:pStyle w:val="35"/>
                    </w:pPr>
                    <w:r>
                      <w:fldChar w:fldCharType="begin"/>
                    </w:r>
                    <w:r>
                      <w:instrText xml:space="preserve"> PAGE  \* MERGEFORMAT </w:instrText>
                    </w:r>
                    <w:r>
                      <w:fldChar w:fldCharType="separate"/>
                    </w:r>
                    <w:r>
                      <w:t>20</w:t>
                    </w:r>
                    <w:r>
                      <w:fldChar w:fldCharType="end"/>
                    </w:r>
                  </w:p>
                </w:txbxContent>
              </v:textbox>
            </v:shape>
          </w:pict>
        </mc:Fallback>
      </mc:AlternateContent>
    </w: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05C39">
    <w:pPr>
      <w:pStyle w:val="35"/>
      <w:pBdr>
        <w:top w:val="single" w:color="000000" w:sz="4" w:space="1"/>
      </w:pBdr>
      <w:ind w:right="720"/>
    </w:pPr>
    <w:r>
      <w:rPr>
        <w:rFonts w:hint="eastAsia"/>
      </w:rPr>
      <w:t xml:space="preserve">地址：成都市高新区2203-2204           </w:t>
    </w:r>
    <w:r>
      <w:fldChar w:fldCharType="begin"/>
    </w:r>
    <w:r>
      <w:instrText xml:space="preserve"> PAGE \* Arabic </w:instrText>
    </w:r>
    <w:r>
      <w:fldChar w:fldCharType="separate"/>
    </w:r>
    <w: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27FAD">
    <w:pPr>
      <w:pStyle w:val="35"/>
      <w:pBdr>
        <w:top w:val="single" w:color="auto" w:sz="4" w:space="1"/>
      </w:pBdr>
      <w:wordWrap w:val="0"/>
      <w:ind w:left="360" w:right="720" w:hanging="360" w:hangingChars="200"/>
    </w:pPr>
    <w:r>
      <w:rPr>
        <w:rFonts w:hint="eastAsia"/>
      </w:rPr>
      <w:t xml:space="preserve">                         </w:t>
    </w:r>
    <w:r>
      <w:fldChar w:fldCharType="begin"/>
    </w:r>
    <w:r>
      <w:instrText xml:space="preserve">PAGE   \* MERGEFORMAT</w:instrText>
    </w:r>
    <w:r>
      <w:fldChar w:fldCharType="separate"/>
    </w:r>
    <w:r>
      <w:t>21</w:t>
    </w:r>
    <w:r>
      <w:fldChar w:fldCharType="end"/>
    </w:r>
  </w:p>
  <w:p w14:paraId="3AD14968">
    <w:pPr>
      <w:pStyle w:val="35"/>
      <w:tabs>
        <w:tab w:val="right" w:pos="8305"/>
        <w:tab w:val="clear" w:pos="8306"/>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2A22B">
    <w:pPr>
      <w:pStyle w:val="35"/>
      <w:pBdr>
        <w:top w:val="single" w:color="000000" w:sz="4" w:space="1"/>
      </w:pBdr>
    </w:pPr>
    <w:r>
      <w:rPr>
        <w:rFonts w:hint="eastAsia"/>
      </w:rPr>
      <w:t xml:space="preserve">                       </w:t>
    </w:r>
    <w:r>
      <w:fldChar w:fldCharType="begin"/>
    </w:r>
    <w:r>
      <w:instrText xml:space="preserve"> PAGE \* Arabic </w:instrText>
    </w:r>
    <w:r>
      <w:fldChar w:fldCharType="separate"/>
    </w:r>
    <w:r>
      <w:t>23</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4E04D">
    <w:pPr>
      <w:pStyle w:val="35"/>
      <w:pBdr>
        <w:top w:val="single" w:color="000000" w:sz="4" w:space="1"/>
      </w:pBdr>
      <w:ind w:right="720"/>
    </w:pPr>
    <w:r>
      <w:rPr>
        <w:rFonts w:hint="eastAsia"/>
      </w:rPr>
      <w:t xml:space="preserve">    </w:t>
    </w:r>
    <w:r>
      <w:fldChar w:fldCharType="begin"/>
    </w:r>
    <w:r>
      <w:instrText xml:space="preserve"> PAGE \* Arabic </w:instrText>
    </w:r>
    <w:r>
      <w:fldChar w:fldCharType="separate"/>
    </w:r>
    <w:r>
      <w:t>39</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E6177">
    <w:pPr>
      <w:pStyle w:val="36"/>
      <w:ind w:firstLine="270" w:firstLineChars="150"/>
      <w:jc w:val="both"/>
    </w:pPr>
    <w:r>
      <w:rPr>
        <w:rFonts w:hint="eastAsia"/>
      </w:rPr>
      <w:drawing>
        <wp:anchor distT="0" distB="0" distL="114300" distR="114300" simplePos="0" relativeHeight="251659264" behindDoc="0" locked="0" layoutInCell="1" allowOverlap="1">
          <wp:simplePos x="0" y="0"/>
          <wp:positionH relativeFrom="column">
            <wp:posOffset>33655</wp:posOffset>
          </wp:positionH>
          <wp:positionV relativeFrom="paragraph">
            <wp:posOffset>-86995</wp:posOffset>
          </wp:positionV>
          <wp:extent cx="153670" cy="226695"/>
          <wp:effectExtent l="0" t="0" r="17780" b="1905"/>
          <wp:wrapNone/>
          <wp:docPr id="1" name="图片 31" descr="未命名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1" descr="未命名 -2"/>
                  <pic:cNvPicPr>
                    <a:picLocks noChangeAspect="1"/>
                  </pic:cNvPicPr>
                </pic:nvPicPr>
                <pic:blipFill>
                  <a:blip r:embed="rId1"/>
                  <a:stretch>
                    <a:fillRect/>
                  </a:stretch>
                </pic:blipFill>
                <pic:spPr>
                  <a:xfrm>
                    <a:off x="0" y="0"/>
                    <a:ext cx="153670" cy="226695"/>
                  </a:xfrm>
                  <a:prstGeom prst="rect">
                    <a:avLst/>
                  </a:prstGeom>
                  <a:noFill/>
                  <a:ln>
                    <a:noFill/>
                  </a:ln>
                </pic:spPr>
              </pic:pic>
            </a:graphicData>
          </a:graphic>
        </wp:anchor>
      </w:drawing>
    </w:r>
    <w:r>
      <w:rPr>
        <w:rFonts w:hint="eastAsia"/>
      </w:rPr>
      <w:t xml:space="preserve">四川轩辕招标代理有限公司        </w:t>
    </w:r>
    <w:r>
      <w:t xml:space="preserve">   </w:t>
    </w:r>
    <w:r>
      <w:rPr>
        <w:rFonts w:hint="eastAsia"/>
      </w:rPr>
      <w:t xml:space="preserve">  </w:t>
    </w:r>
    <w:r>
      <w:t xml:space="preserve">       </w:t>
    </w:r>
    <w:r>
      <w:rPr>
        <w:rFonts w:hint="eastAsia"/>
      </w:rPr>
      <w:t xml:space="preserve">             </w:t>
    </w:r>
    <w:r>
      <w:t xml:space="preserve">         </w:t>
    </w:r>
    <w:r>
      <w:rPr>
        <w:rFonts w:hint="eastAsia"/>
      </w:rPr>
      <w:t xml:space="preserve"> 公开  公平  公正  高效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20087">
    <w:pPr>
      <w:pStyle w:val="3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B99EC">
    <w:pPr>
      <w:pStyle w:val="36"/>
      <w:ind w:firstLine="660" w:firstLineChars="300"/>
      <w:jc w:val="both"/>
      <w:rPr>
        <w:sz w:val="22"/>
        <w:szCs w:val="22"/>
      </w:rPr>
    </w:pPr>
    <w:r>
      <w:rPr>
        <w:rFonts w:hint="eastAsia"/>
        <w:sz w:val="22"/>
        <w:szCs w:val="22"/>
      </w:rPr>
      <w:t xml:space="preserve">                          公开 公平 公正 高效</w:t>
    </w:r>
  </w:p>
  <w:p w14:paraId="120561FC">
    <w:pPr>
      <w:pStyle w:val="36"/>
      <w:pBdr>
        <w:bottom w:val="none" w:color="auto" w:sz="0" w:space="1"/>
      </w:pBdr>
      <w:ind w:firstLine="270" w:firstLineChars="150"/>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DE9DE">
    <w:pPr>
      <w:pStyle w:val="36"/>
      <w:rPr>
        <w:sz w:val="22"/>
        <w:szCs w:val="22"/>
      </w:rPr>
    </w:pPr>
    <w:r>
      <w:rPr>
        <w:rFonts w:hint="eastAsia"/>
        <w:sz w:val="22"/>
        <w:szCs w:val="22"/>
      </w:rPr>
      <w:t xml:space="preserve">                        公开  公平  公正  高效</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B2F3A">
    <w:pPr>
      <w:pStyle w:val="36"/>
      <w:ind w:firstLine="450"/>
      <w:jc w:val="both"/>
    </w:pPr>
    <w:r>
      <w:rPr>
        <w:rFonts w:hint="eastAsia"/>
      </w:rPr>
      <w:t xml:space="preserve">                                          公开  公平  公正  高效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58BD2">
    <w:pPr>
      <w:pStyle w:val="36"/>
      <w:ind w:firstLine="450" w:firstLineChars="250"/>
      <w:jc w:val="both"/>
    </w:pPr>
    <w:r>
      <w:rPr>
        <w:rFonts w:hint="eastAsia"/>
      </w:rPr>
      <w:t xml:space="preserve">                                    公开  公平  公正  高效</w:t>
    </w:r>
  </w:p>
  <w:p w14:paraId="58A3BF5C">
    <w:pPr>
      <w:pStyle w:val="35"/>
      <w:pBdr>
        <w:top w:val="none" w:color="000000" w:sz="0" w:space="1"/>
        <w:between w:val="single" w:color="000000" w:sz="12" w:space="0"/>
      </w:pBdr>
      <w:tabs>
        <w:tab w:val="right" w:pos="7783"/>
        <w:tab w:val="clear" w:pos="4153"/>
        <w:tab w:val="clear" w:pos="8306"/>
      </w:tabs>
      <w:ind w:right="72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E2D5F">
    <w:pPr>
      <w:pStyle w:val="36"/>
      <w:pBdr>
        <w:bottom w:val="single" w:color="auto" w:sz="4" w:space="1"/>
      </w:pBdr>
      <w:ind w:firstLine="550" w:firstLineChars="250"/>
      <w:jc w:val="both"/>
    </w:pPr>
    <w:r>
      <w:rPr>
        <w:rFonts w:hint="eastAsia"/>
        <w:sz w:val="22"/>
        <w:szCs w:val="22"/>
      </w:rPr>
      <w:t xml:space="preserve">                            公开公平公正高效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F53590"/>
    <w:multiLevelType w:val="multilevel"/>
    <w:tmpl w:val="C7F53590"/>
    <w:lvl w:ilvl="0" w:tentative="0">
      <w:start w:val="1"/>
      <w:numFmt w:val="decimal"/>
      <w:pStyle w:val="246"/>
      <w:suff w:val="nothing"/>
      <w:lvlText w:val="%1."/>
      <w:lvlJc w:val="left"/>
      <w:pPr>
        <w:tabs>
          <w:tab w:val="left" w:pos="420"/>
        </w:tabs>
        <w:ind w:left="0" w:firstLine="0"/>
      </w:pPr>
      <w:rPr>
        <w:rFonts w:hint="default" w:ascii="宋体" w:hAnsi="宋体" w:eastAsia="宋体" w:cs="宋体"/>
      </w:rPr>
    </w:lvl>
    <w:lvl w:ilvl="1" w:tentative="0">
      <w:start w:val="1"/>
      <w:numFmt w:val="decimal"/>
      <w:suff w:val="nothing"/>
      <w:lvlText w:val="%1.%2"/>
      <w:lvlJc w:val="left"/>
      <w:pPr>
        <w:tabs>
          <w:tab w:val="left" w:pos="420"/>
        </w:tabs>
        <w:ind w:left="0" w:firstLine="0"/>
      </w:pPr>
      <w:rPr>
        <w:rFonts w:hint="default" w:ascii="宋体" w:hAnsi="宋体" w:eastAsia="宋体" w:cs="宋体"/>
      </w:rPr>
    </w:lvl>
    <w:lvl w:ilvl="2" w:tentative="0">
      <w:start w:val="1"/>
      <w:numFmt w:val="decimal"/>
      <w:suff w:val="nothing"/>
      <w:lvlText w:val="%1.%2.%3"/>
      <w:lvlJc w:val="left"/>
      <w:pPr>
        <w:tabs>
          <w:tab w:val="left" w:pos="420"/>
        </w:tabs>
        <w:ind w:left="0" w:firstLine="0"/>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DCD1F5EF"/>
    <w:multiLevelType w:val="singleLevel"/>
    <w:tmpl w:val="DCD1F5EF"/>
    <w:lvl w:ilvl="0" w:tentative="0">
      <w:start w:val="1"/>
      <w:numFmt w:val="chineseCounting"/>
      <w:suff w:val="nothing"/>
      <w:lvlText w:val="（%1）"/>
      <w:lvlJc w:val="left"/>
      <w:rPr>
        <w:rFonts w:hint="eastAsia"/>
      </w:rPr>
    </w:lvl>
  </w:abstractNum>
  <w:abstractNum w:abstractNumId="2">
    <w:nsid w:val="00000001"/>
    <w:multiLevelType w:val="singleLevel"/>
    <w:tmpl w:val="00000001"/>
    <w:lvl w:ilvl="0" w:tentative="0">
      <w:start w:val="1"/>
      <w:numFmt w:val="decimal"/>
      <w:pStyle w:val="154"/>
      <w:lvlText w:val="%1)"/>
      <w:lvlJc w:val="left"/>
      <w:pPr>
        <w:tabs>
          <w:tab w:val="left" w:pos="425"/>
        </w:tabs>
        <w:ind w:left="425" w:hanging="425"/>
      </w:pPr>
      <w:rPr>
        <w:rFonts w:hint="eastAsia"/>
      </w:rPr>
    </w:lvl>
  </w:abstractNum>
  <w:abstractNum w:abstractNumId="3">
    <w:nsid w:val="00000004"/>
    <w:multiLevelType w:val="multilevel"/>
    <w:tmpl w:val="00000004"/>
    <w:lvl w:ilvl="0" w:tentative="0">
      <w:start w:val="1"/>
      <w:numFmt w:val="decimal"/>
      <w:pStyle w:val="106"/>
      <w:lvlText w:val="(%1)"/>
      <w:lvlJc w:val="left"/>
      <w:pPr>
        <w:tabs>
          <w:tab w:val="left" w:pos="397"/>
        </w:tabs>
        <w:ind w:left="397" w:hanging="397"/>
      </w:pPr>
      <w:rPr>
        <w:rFonts w:hint="default" w:ascii="Arial" w:hAnsi="Arial" w:eastAsia="宋体"/>
        <w:b w:val="0"/>
        <w:i w:val="0"/>
        <w:color w:val="auto"/>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5"/>
    <w:multiLevelType w:val="singleLevel"/>
    <w:tmpl w:val="00000005"/>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5">
    <w:nsid w:val="00000008"/>
    <w:multiLevelType w:val="multilevel"/>
    <w:tmpl w:val="00000008"/>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144"/>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0000000B"/>
    <w:multiLevelType w:val="multilevel"/>
    <w:tmpl w:val="0000000B"/>
    <w:lvl w:ilvl="0" w:tentative="0">
      <w:start w:val="1"/>
      <w:numFmt w:val="bullet"/>
      <w:pStyle w:val="169"/>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D"/>
    <w:multiLevelType w:val="multilevel"/>
    <w:tmpl w:val="0000000D"/>
    <w:lvl w:ilvl="0" w:tentative="0">
      <w:start w:val="1"/>
      <w:numFmt w:val="bullet"/>
      <w:pStyle w:val="192"/>
      <w:lvlText w:val=""/>
      <w:lvlJc w:val="left"/>
      <w:pPr>
        <w:tabs>
          <w:tab w:val="left" w:pos="980"/>
        </w:tabs>
        <w:ind w:left="980" w:hanging="360"/>
      </w:pPr>
      <w:rPr>
        <w:rFonts w:hint="default" w:ascii="Wingdings" w:hAnsi="Wingdings"/>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bullet"/>
      <w:lvlText w:val=""/>
      <w:lvlJc w:val="left"/>
      <w:pPr>
        <w:tabs>
          <w:tab w:val="left" w:pos="1460"/>
        </w:tabs>
        <w:ind w:left="1460" w:hanging="420"/>
      </w:pPr>
      <w:rPr>
        <w:rFonts w:hint="default" w:ascii="Wingdings" w:hAnsi="Wingdings"/>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8">
    <w:nsid w:val="0000000E"/>
    <w:multiLevelType w:val="singleLevel"/>
    <w:tmpl w:val="0000000E"/>
    <w:lvl w:ilvl="0" w:tentative="0">
      <w:start w:val="1"/>
      <w:numFmt w:val="decimal"/>
      <w:pStyle w:val="13"/>
      <w:lvlText w:val="%1."/>
      <w:lvlJc w:val="left"/>
      <w:pPr>
        <w:tabs>
          <w:tab w:val="left" w:pos="780"/>
        </w:tabs>
        <w:ind w:left="780" w:hanging="360"/>
      </w:pPr>
    </w:lvl>
  </w:abstractNum>
  <w:abstractNum w:abstractNumId="9">
    <w:nsid w:val="00000014"/>
    <w:multiLevelType w:val="multilevel"/>
    <w:tmpl w:val="00000014"/>
    <w:lvl w:ilvl="0" w:tentative="0">
      <w:start w:val="1"/>
      <w:numFmt w:val="decimal"/>
      <w:pStyle w:val="191"/>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5"/>
    <w:multiLevelType w:val="singleLevel"/>
    <w:tmpl w:val="00000015"/>
    <w:lvl w:ilvl="0" w:tentative="0">
      <w:start w:val="1"/>
      <w:numFmt w:val="bullet"/>
      <w:pStyle w:val="120"/>
      <w:lvlText w:val=""/>
      <w:lvlJc w:val="left"/>
      <w:pPr>
        <w:tabs>
          <w:tab w:val="left" w:pos="360"/>
        </w:tabs>
        <w:ind w:left="360" w:hanging="360"/>
      </w:pPr>
      <w:rPr>
        <w:rFonts w:hint="default" w:ascii="Wingdings" w:hAnsi="Wingdings"/>
      </w:rPr>
    </w:lvl>
  </w:abstractNum>
  <w:abstractNum w:abstractNumId="11">
    <w:nsid w:val="00000019"/>
    <w:multiLevelType w:val="multilevel"/>
    <w:tmpl w:val="00000019"/>
    <w:lvl w:ilvl="0" w:tentative="0">
      <w:start w:val="1"/>
      <w:numFmt w:val="bullet"/>
      <w:pStyle w:val="212"/>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0000001B"/>
    <w:multiLevelType w:val="multilevel"/>
    <w:tmpl w:val="0000001B"/>
    <w:lvl w:ilvl="0" w:tentative="0">
      <w:start w:val="8"/>
      <w:numFmt w:val="decimal"/>
      <w:pStyle w:val="124"/>
      <w:lvlText w:val="%1."/>
      <w:lvlJc w:val="left"/>
      <w:pPr>
        <w:tabs>
          <w:tab w:val="left" w:pos="425"/>
        </w:tabs>
        <w:ind w:left="425" w:hanging="425"/>
      </w:pPr>
      <w:rPr>
        <w:rFonts w:hint="eastAsia"/>
      </w:rPr>
    </w:lvl>
    <w:lvl w:ilvl="1" w:tentative="0">
      <w:start w:val="1"/>
      <w:numFmt w:val="decimal"/>
      <w:lvlText w:val="%1.%2."/>
      <w:lvlJc w:val="left"/>
      <w:pPr>
        <w:tabs>
          <w:tab w:val="left" w:pos="747"/>
        </w:tabs>
        <w:ind w:left="747" w:hanging="567"/>
      </w:pPr>
      <w:rPr>
        <w:rFonts w:hint="eastAsia"/>
      </w:rPr>
    </w:lvl>
    <w:lvl w:ilvl="2" w:tentative="0">
      <w:start w:val="1"/>
      <w:numFmt w:val="decimal"/>
      <w:pStyle w:val="193"/>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3">
    <w:nsid w:val="0000001D"/>
    <w:multiLevelType w:val="multilevel"/>
    <w:tmpl w:val="0000001D"/>
    <w:lvl w:ilvl="0" w:tentative="0">
      <w:start w:val="1"/>
      <w:numFmt w:val="chineseCountingThousand"/>
      <w:pStyle w:val="5"/>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1E"/>
    <w:multiLevelType w:val="singleLevel"/>
    <w:tmpl w:val="0000001E"/>
    <w:lvl w:ilvl="0" w:tentative="0">
      <w:start w:val="1"/>
      <w:numFmt w:val="bullet"/>
      <w:pStyle w:val="14"/>
      <w:lvlText w:val=""/>
      <w:lvlJc w:val="left"/>
      <w:pPr>
        <w:tabs>
          <w:tab w:val="left" w:pos="1620"/>
        </w:tabs>
        <w:ind w:left="1620" w:hanging="360"/>
      </w:pPr>
      <w:rPr>
        <w:rFonts w:hint="default" w:ascii="Wingdings" w:hAnsi="Wingdings"/>
      </w:rPr>
    </w:lvl>
  </w:abstractNum>
  <w:abstractNum w:abstractNumId="15">
    <w:nsid w:val="00000029"/>
    <w:multiLevelType w:val="multilevel"/>
    <w:tmpl w:val="00000029"/>
    <w:lvl w:ilvl="0" w:tentative="0">
      <w:start w:val="1"/>
      <w:numFmt w:val="chineseCountingThousand"/>
      <w:pStyle w:val="139"/>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B"/>
    <w:multiLevelType w:val="singleLevel"/>
    <w:tmpl w:val="0000002B"/>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17">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76"/>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8">
    <w:nsid w:val="418D7AD5"/>
    <w:multiLevelType w:val="multilevel"/>
    <w:tmpl w:val="418D7AD5"/>
    <w:lvl w:ilvl="0" w:tentative="0">
      <w:start w:val="1"/>
      <w:numFmt w:val="japaneseCounting"/>
      <w:lvlText w:val="第%1条"/>
      <w:lvlJc w:val="left"/>
      <w:pPr>
        <w:ind w:left="1260" w:hanging="7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9">
    <w:nsid w:val="44C4DE07"/>
    <w:multiLevelType w:val="singleLevel"/>
    <w:tmpl w:val="44C4DE07"/>
    <w:lvl w:ilvl="0" w:tentative="0">
      <w:start w:val="4"/>
      <w:numFmt w:val="chineseCounting"/>
      <w:suff w:val="space"/>
      <w:lvlText w:val="第%1章"/>
      <w:lvlJc w:val="left"/>
      <w:rPr>
        <w:rFonts w:hint="eastAsia"/>
      </w:rPr>
    </w:lvl>
  </w:abstractNum>
  <w:num w:numId="1">
    <w:abstractNumId w:val="13"/>
  </w:num>
  <w:num w:numId="2">
    <w:abstractNumId w:val="8"/>
  </w:num>
  <w:num w:numId="3">
    <w:abstractNumId w:val="14"/>
  </w:num>
  <w:num w:numId="4">
    <w:abstractNumId w:val="16"/>
  </w:num>
  <w:num w:numId="5">
    <w:abstractNumId w:val="4"/>
  </w:num>
  <w:num w:numId="6">
    <w:abstractNumId w:val="17"/>
  </w:num>
  <w:num w:numId="7">
    <w:abstractNumId w:val="3"/>
  </w:num>
  <w:num w:numId="8">
    <w:abstractNumId w:val="10"/>
  </w:num>
  <w:num w:numId="9">
    <w:abstractNumId w:val="12"/>
  </w:num>
  <w:num w:numId="10">
    <w:abstractNumId w:val="15"/>
  </w:num>
  <w:num w:numId="11">
    <w:abstractNumId w:val="5"/>
  </w:num>
  <w:num w:numId="12">
    <w:abstractNumId w:val="2"/>
  </w:num>
  <w:num w:numId="13">
    <w:abstractNumId w:val="6"/>
  </w:num>
  <w:num w:numId="14">
    <w:abstractNumId w:val="9"/>
  </w:num>
  <w:num w:numId="15">
    <w:abstractNumId w:val="7"/>
  </w:num>
  <w:num w:numId="16">
    <w:abstractNumId w:val="11"/>
  </w:num>
  <w:num w:numId="17">
    <w:abstractNumId w:val="0"/>
  </w:num>
  <w:num w:numId="18">
    <w:abstractNumId w:val="19"/>
  </w:num>
  <w:num w:numId="19">
    <w:abstractNumId w:val="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attachedTemplate r:id="rId1"/>
  <w:documentProtection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1ZDc0MDZmNjc2MDAwZTc3YjYzM2JlZmNiYzFjYmYifQ=="/>
  </w:docVars>
  <w:rsids>
    <w:rsidRoot w:val="6DDE27FD"/>
    <w:rsid w:val="000009F3"/>
    <w:rsid w:val="00001D0F"/>
    <w:rsid w:val="0000221B"/>
    <w:rsid w:val="00002B9D"/>
    <w:rsid w:val="000055C9"/>
    <w:rsid w:val="00005E47"/>
    <w:rsid w:val="000063B7"/>
    <w:rsid w:val="000139E4"/>
    <w:rsid w:val="000207F4"/>
    <w:rsid w:val="0002100C"/>
    <w:rsid w:val="0002346F"/>
    <w:rsid w:val="0002347D"/>
    <w:rsid w:val="0002354B"/>
    <w:rsid w:val="00023C6D"/>
    <w:rsid w:val="00023E9D"/>
    <w:rsid w:val="00025F17"/>
    <w:rsid w:val="00026263"/>
    <w:rsid w:val="000264A3"/>
    <w:rsid w:val="000267BE"/>
    <w:rsid w:val="00026B27"/>
    <w:rsid w:val="00027109"/>
    <w:rsid w:val="00027C29"/>
    <w:rsid w:val="00027C36"/>
    <w:rsid w:val="00031176"/>
    <w:rsid w:val="000315DD"/>
    <w:rsid w:val="00031B52"/>
    <w:rsid w:val="00031F45"/>
    <w:rsid w:val="00032101"/>
    <w:rsid w:val="00032AB2"/>
    <w:rsid w:val="0003301C"/>
    <w:rsid w:val="000334A1"/>
    <w:rsid w:val="000344AE"/>
    <w:rsid w:val="000346CD"/>
    <w:rsid w:val="0003515B"/>
    <w:rsid w:val="0003530B"/>
    <w:rsid w:val="00035567"/>
    <w:rsid w:val="00035B2A"/>
    <w:rsid w:val="000361B7"/>
    <w:rsid w:val="0003638A"/>
    <w:rsid w:val="00036771"/>
    <w:rsid w:val="00036778"/>
    <w:rsid w:val="00037964"/>
    <w:rsid w:val="00040921"/>
    <w:rsid w:val="00041101"/>
    <w:rsid w:val="0004166E"/>
    <w:rsid w:val="00041FD8"/>
    <w:rsid w:val="00042D38"/>
    <w:rsid w:val="00043143"/>
    <w:rsid w:val="000434AF"/>
    <w:rsid w:val="000441D5"/>
    <w:rsid w:val="000441E2"/>
    <w:rsid w:val="00044948"/>
    <w:rsid w:val="00044970"/>
    <w:rsid w:val="00044A23"/>
    <w:rsid w:val="000451E3"/>
    <w:rsid w:val="000457B3"/>
    <w:rsid w:val="0004599E"/>
    <w:rsid w:val="00045AEC"/>
    <w:rsid w:val="00046067"/>
    <w:rsid w:val="00046099"/>
    <w:rsid w:val="00046AEC"/>
    <w:rsid w:val="00046B1E"/>
    <w:rsid w:val="0005044C"/>
    <w:rsid w:val="00050937"/>
    <w:rsid w:val="0005220E"/>
    <w:rsid w:val="00053233"/>
    <w:rsid w:val="00053EBE"/>
    <w:rsid w:val="00054146"/>
    <w:rsid w:val="000547F0"/>
    <w:rsid w:val="00056D91"/>
    <w:rsid w:val="00057186"/>
    <w:rsid w:val="0005725E"/>
    <w:rsid w:val="00057A03"/>
    <w:rsid w:val="00061698"/>
    <w:rsid w:val="00065E94"/>
    <w:rsid w:val="00070469"/>
    <w:rsid w:val="000715A4"/>
    <w:rsid w:val="000721FE"/>
    <w:rsid w:val="00072A94"/>
    <w:rsid w:val="00072C8B"/>
    <w:rsid w:val="00073E79"/>
    <w:rsid w:val="0007408D"/>
    <w:rsid w:val="000741C0"/>
    <w:rsid w:val="0007447B"/>
    <w:rsid w:val="00074BEC"/>
    <w:rsid w:val="00075AED"/>
    <w:rsid w:val="00075C65"/>
    <w:rsid w:val="00075EE1"/>
    <w:rsid w:val="00076B63"/>
    <w:rsid w:val="0007721B"/>
    <w:rsid w:val="00077B38"/>
    <w:rsid w:val="00080185"/>
    <w:rsid w:val="00081278"/>
    <w:rsid w:val="000812B5"/>
    <w:rsid w:val="000834EB"/>
    <w:rsid w:val="0008541B"/>
    <w:rsid w:val="000863CD"/>
    <w:rsid w:val="000865AB"/>
    <w:rsid w:val="00087A40"/>
    <w:rsid w:val="00087E87"/>
    <w:rsid w:val="000901C3"/>
    <w:rsid w:val="0009037D"/>
    <w:rsid w:val="0009068A"/>
    <w:rsid w:val="000906E2"/>
    <w:rsid w:val="00090CEA"/>
    <w:rsid w:val="000912B5"/>
    <w:rsid w:val="0009158F"/>
    <w:rsid w:val="00091611"/>
    <w:rsid w:val="00091D29"/>
    <w:rsid w:val="00093587"/>
    <w:rsid w:val="0009401E"/>
    <w:rsid w:val="000959C9"/>
    <w:rsid w:val="000963BB"/>
    <w:rsid w:val="000976BF"/>
    <w:rsid w:val="000979CA"/>
    <w:rsid w:val="000A0B9E"/>
    <w:rsid w:val="000A0DC3"/>
    <w:rsid w:val="000A1BF9"/>
    <w:rsid w:val="000B1170"/>
    <w:rsid w:val="000B1417"/>
    <w:rsid w:val="000B1859"/>
    <w:rsid w:val="000B1931"/>
    <w:rsid w:val="000B1AA9"/>
    <w:rsid w:val="000B32DC"/>
    <w:rsid w:val="000B3353"/>
    <w:rsid w:val="000B4880"/>
    <w:rsid w:val="000B4F5A"/>
    <w:rsid w:val="000B4FAD"/>
    <w:rsid w:val="000B56F8"/>
    <w:rsid w:val="000B603B"/>
    <w:rsid w:val="000B6051"/>
    <w:rsid w:val="000B619C"/>
    <w:rsid w:val="000B63EB"/>
    <w:rsid w:val="000C1526"/>
    <w:rsid w:val="000C17BF"/>
    <w:rsid w:val="000C2012"/>
    <w:rsid w:val="000C210A"/>
    <w:rsid w:val="000C27FF"/>
    <w:rsid w:val="000C2FDB"/>
    <w:rsid w:val="000C39F5"/>
    <w:rsid w:val="000C3D41"/>
    <w:rsid w:val="000C4E8B"/>
    <w:rsid w:val="000C4F08"/>
    <w:rsid w:val="000C5073"/>
    <w:rsid w:val="000C52D6"/>
    <w:rsid w:val="000D05B1"/>
    <w:rsid w:val="000D083B"/>
    <w:rsid w:val="000D1EB2"/>
    <w:rsid w:val="000D2ADE"/>
    <w:rsid w:val="000D2FF1"/>
    <w:rsid w:val="000D3F1E"/>
    <w:rsid w:val="000D5970"/>
    <w:rsid w:val="000D7567"/>
    <w:rsid w:val="000E1166"/>
    <w:rsid w:val="000E1432"/>
    <w:rsid w:val="000E2501"/>
    <w:rsid w:val="000E2555"/>
    <w:rsid w:val="000E312F"/>
    <w:rsid w:val="000E3DDE"/>
    <w:rsid w:val="000E4244"/>
    <w:rsid w:val="000E552D"/>
    <w:rsid w:val="000E589F"/>
    <w:rsid w:val="000E5A40"/>
    <w:rsid w:val="000E5C7A"/>
    <w:rsid w:val="000E6DF3"/>
    <w:rsid w:val="000E7682"/>
    <w:rsid w:val="000F0B4F"/>
    <w:rsid w:val="000F1A62"/>
    <w:rsid w:val="000F37F9"/>
    <w:rsid w:val="000F3C77"/>
    <w:rsid w:val="000F61AA"/>
    <w:rsid w:val="000F635A"/>
    <w:rsid w:val="001003A0"/>
    <w:rsid w:val="001007B5"/>
    <w:rsid w:val="00102941"/>
    <w:rsid w:val="00104020"/>
    <w:rsid w:val="00104967"/>
    <w:rsid w:val="00105BEA"/>
    <w:rsid w:val="00106C33"/>
    <w:rsid w:val="00106D9B"/>
    <w:rsid w:val="0010785C"/>
    <w:rsid w:val="00110500"/>
    <w:rsid w:val="001139D3"/>
    <w:rsid w:val="00113D9C"/>
    <w:rsid w:val="00113DF5"/>
    <w:rsid w:val="00114559"/>
    <w:rsid w:val="00114741"/>
    <w:rsid w:val="00114A63"/>
    <w:rsid w:val="00114FB1"/>
    <w:rsid w:val="00115B99"/>
    <w:rsid w:val="00116F75"/>
    <w:rsid w:val="001176CA"/>
    <w:rsid w:val="0012010D"/>
    <w:rsid w:val="00123F6B"/>
    <w:rsid w:val="001251BE"/>
    <w:rsid w:val="001255A3"/>
    <w:rsid w:val="00125EE6"/>
    <w:rsid w:val="001267FA"/>
    <w:rsid w:val="00127A32"/>
    <w:rsid w:val="00127CB4"/>
    <w:rsid w:val="001303C4"/>
    <w:rsid w:val="001306FE"/>
    <w:rsid w:val="00130AD8"/>
    <w:rsid w:val="00130BA8"/>
    <w:rsid w:val="00130D2F"/>
    <w:rsid w:val="0013179A"/>
    <w:rsid w:val="001322DE"/>
    <w:rsid w:val="00133151"/>
    <w:rsid w:val="00135D6B"/>
    <w:rsid w:val="00137E3B"/>
    <w:rsid w:val="0014018E"/>
    <w:rsid w:val="00140C1D"/>
    <w:rsid w:val="00141F6F"/>
    <w:rsid w:val="00141FBD"/>
    <w:rsid w:val="0014276C"/>
    <w:rsid w:val="0014289A"/>
    <w:rsid w:val="00142BE7"/>
    <w:rsid w:val="00144C55"/>
    <w:rsid w:val="0014503C"/>
    <w:rsid w:val="00145650"/>
    <w:rsid w:val="00146E5F"/>
    <w:rsid w:val="001519F5"/>
    <w:rsid w:val="00151B30"/>
    <w:rsid w:val="001530AC"/>
    <w:rsid w:val="001532AB"/>
    <w:rsid w:val="00153578"/>
    <w:rsid w:val="00153AA5"/>
    <w:rsid w:val="0015600C"/>
    <w:rsid w:val="001561E8"/>
    <w:rsid w:val="001564BB"/>
    <w:rsid w:val="001566FD"/>
    <w:rsid w:val="001578C7"/>
    <w:rsid w:val="00157977"/>
    <w:rsid w:val="0016071D"/>
    <w:rsid w:val="00160BFB"/>
    <w:rsid w:val="00161922"/>
    <w:rsid w:val="00164D83"/>
    <w:rsid w:val="00165D22"/>
    <w:rsid w:val="00166961"/>
    <w:rsid w:val="00167CCB"/>
    <w:rsid w:val="00170214"/>
    <w:rsid w:val="00170AEA"/>
    <w:rsid w:val="00171E0C"/>
    <w:rsid w:val="00171E7A"/>
    <w:rsid w:val="00173DED"/>
    <w:rsid w:val="00173F4C"/>
    <w:rsid w:val="00174EC0"/>
    <w:rsid w:val="001761DC"/>
    <w:rsid w:val="001776CB"/>
    <w:rsid w:val="001777BB"/>
    <w:rsid w:val="0018012C"/>
    <w:rsid w:val="001802DC"/>
    <w:rsid w:val="00180A5F"/>
    <w:rsid w:val="00181A5A"/>
    <w:rsid w:val="00181E1F"/>
    <w:rsid w:val="0018338A"/>
    <w:rsid w:val="0018409A"/>
    <w:rsid w:val="00185840"/>
    <w:rsid w:val="00185F19"/>
    <w:rsid w:val="00192749"/>
    <w:rsid w:val="00194C09"/>
    <w:rsid w:val="00195430"/>
    <w:rsid w:val="001955A8"/>
    <w:rsid w:val="00195D01"/>
    <w:rsid w:val="00195F34"/>
    <w:rsid w:val="0019606C"/>
    <w:rsid w:val="0019655F"/>
    <w:rsid w:val="00196F5A"/>
    <w:rsid w:val="001971AB"/>
    <w:rsid w:val="001A05E4"/>
    <w:rsid w:val="001A30F8"/>
    <w:rsid w:val="001A3904"/>
    <w:rsid w:val="001A55BF"/>
    <w:rsid w:val="001A5807"/>
    <w:rsid w:val="001A5E88"/>
    <w:rsid w:val="001A648F"/>
    <w:rsid w:val="001A6E11"/>
    <w:rsid w:val="001A711F"/>
    <w:rsid w:val="001A7374"/>
    <w:rsid w:val="001A7671"/>
    <w:rsid w:val="001A79EC"/>
    <w:rsid w:val="001A7E72"/>
    <w:rsid w:val="001B1CBE"/>
    <w:rsid w:val="001B2303"/>
    <w:rsid w:val="001B280A"/>
    <w:rsid w:val="001B3E54"/>
    <w:rsid w:val="001B4BFF"/>
    <w:rsid w:val="001B4DFC"/>
    <w:rsid w:val="001B4FC6"/>
    <w:rsid w:val="001B7EBA"/>
    <w:rsid w:val="001B7EEA"/>
    <w:rsid w:val="001C12CB"/>
    <w:rsid w:val="001C15D6"/>
    <w:rsid w:val="001C4150"/>
    <w:rsid w:val="001C47DC"/>
    <w:rsid w:val="001C4B6B"/>
    <w:rsid w:val="001C593C"/>
    <w:rsid w:val="001C6D2F"/>
    <w:rsid w:val="001C6FB3"/>
    <w:rsid w:val="001D1181"/>
    <w:rsid w:val="001D13BB"/>
    <w:rsid w:val="001D1DC5"/>
    <w:rsid w:val="001D355F"/>
    <w:rsid w:val="001D49ED"/>
    <w:rsid w:val="001D59B3"/>
    <w:rsid w:val="001D5FA1"/>
    <w:rsid w:val="001D6349"/>
    <w:rsid w:val="001D7158"/>
    <w:rsid w:val="001D73BB"/>
    <w:rsid w:val="001D7D9B"/>
    <w:rsid w:val="001E0108"/>
    <w:rsid w:val="001E0469"/>
    <w:rsid w:val="001E0C6F"/>
    <w:rsid w:val="001E0E67"/>
    <w:rsid w:val="001E2287"/>
    <w:rsid w:val="001E26C7"/>
    <w:rsid w:val="001E321C"/>
    <w:rsid w:val="001E359F"/>
    <w:rsid w:val="001E3DE4"/>
    <w:rsid w:val="001E4B5A"/>
    <w:rsid w:val="001E5235"/>
    <w:rsid w:val="001E67F5"/>
    <w:rsid w:val="001E7C3D"/>
    <w:rsid w:val="001E7F91"/>
    <w:rsid w:val="001E7FF4"/>
    <w:rsid w:val="001F0ADB"/>
    <w:rsid w:val="001F2939"/>
    <w:rsid w:val="001F2BA8"/>
    <w:rsid w:val="001F38B2"/>
    <w:rsid w:val="001F3D39"/>
    <w:rsid w:val="001F63CF"/>
    <w:rsid w:val="001F641B"/>
    <w:rsid w:val="001F6902"/>
    <w:rsid w:val="001F6C85"/>
    <w:rsid w:val="001F789A"/>
    <w:rsid w:val="00200FB4"/>
    <w:rsid w:val="00201573"/>
    <w:rsid w:val="0020198E"/>
    <w:rsid w:val="00202746"/>
    <w:rsid w:val="00203227"/>
    <w:rsid w:val="00203CA3"/>
    <w:rsid w:val="00204672"/>
    <w:rsid w:val="002046CC"/>
    <w:rsid w:val="00204FFF"/>
    <w:rsid w:val="00205484"/>
    <w:rsid w:val="00205DCD"/>
    <w:rsid w:val="00210D33"/>
    <w:rsid w:val="00210F04"/>
    <w:rsid w:val="002121C5"/>
    <w:rsid w:val="002124AB"/>
    <w:rsid w:val="00212D1E"/>
    <w:rsid w:val="00212E12"/>
    <w:rsid w:val="00212F4C"/>
    <w:rsid w:val="00213549"/>
    <w:rsid w:val="00213847"/>
    <w:rsid w:val="00214048"/>
    <w:rsid w:val="002156C1"/>
    <w:rsid w:val="00215E46"/>
    <w:rsid w:val="00216383"/>
    <w:rsid w:val="0021765C"/>
    <w:rsid w:val="00217708"/>
    <w:rsid w:val="002178DF"/>
    <w:rsid w:val="0021796A"/>
    <w:rsid w:val="00217C2D"/>
    <w:rsid w:val="00220A32"/>
    <w:rsid w:val="00220C8E"/>
    <w:rsid w:val="00222717"/>
    <w:rsid w:val="002235D2"/>
    <w:rsid w:val="0022364F"/>
    <w:rsid w:val="00225C0F"/>
    <w:rsid w:val="00225C55"/>
    <w:rsid w:val="00226314"/>
    <w:rsid w:val="00227F29"/>
    <w:rsid w:val="00230B76"/>
    <w:rsid w:val="00231051"/>
    <w:rsid w:val="0023286C"/>
    <w:rsid w:val="002332E2"/>
    <w:rsid w:val="00233B5C"/>
    <w:rsid w:val="00234145"/>
    <w:rsid w:val="00234190"/>
    <w:rsid w:val="00235830"/>
    <w:rsid w:val="00235D70"/>
    <w:rsid w:val="00236C6E"/>
    <w:rsid w:val="0023748E"/>
    <w:rsid w:val="0024084C"/>
    <w:rsid w:val="00241918"/>
    <w:rsid w:val="00241C22"/>
    <w:rsid w:val="00241E3D"/>
    <w:rsid w:val="00242540"/>
    <w:rsid w:val="002426C3"/>
    <w:rsid w:val="00242B46"/>
    <w:rsid w:val="00244838"/>
    <w:rsid w:val="00245607"/>
    <w:rsid w:val="00246145"/>
    <w:rsid w:val="002463AB"/>
    <w:rsid w:val="00246489"/>
    <w:rsid w:val="00246521"/>
    <w:rsid w:val="00246FC7"/>
    <w:rsid w:val="0025160B"/>
    <w:rsid w:val="002519D3"/>
    <w:rsid w:val="00252F51"/>
    <w:rsid w:val="002548EB"/>
    <w:rsid w:val="00254B0A"/>
    <w:rsid w:val="00256AA5"/>
    <w:rsid w:val="00256EEE"/>
    <w:rsid w:val="00257A89"/>
    <w:rsid w:val="0026212C"/>
    <w:rsid w:val="00262142"/>
    <w:rsid w:val="00262EF9"/>
    <w:rsid w:val="00263B7C"/>
    <w:rsid w:val="0026420C"/>
    <w:rsid w:val="002648EB"/>
    <w:rsid w:val="0026583B"/>
    <w:rsid w:val="00266387"/>
    <w:rsid w:val="002663ED"/>
    <w:rsid w:val="00266AA9"/>
    <w:rsid w:val="00270D15"/>
    <w:rsid w:val="0027215A"/>
    <w:rsid w:val="00272AF9"/>
    <w:rsid w:val="00272CF2"/>
    <w:rsid w:val="00273437"/>
    <w:rsid w:val="00273C1F"/>
    <w:rsid w:val="00273D59"/>
    <w:rsid w:val="00273EE6"/>
    <w:rsid w:val="00274983"/>
    <w:rsid w:val="00275B37"/>
    <w:rsid w:val="00275F5D"/>
    <w:rsid w:val="002764A2"/>
    <w:rsid w:val="002767EA"/>
    <w:rsid w:val="00277E59"/>
    <w:rsid w:val="00280454"/>
    <w:rsid w:val="00280D05"/>
    <w:rsid w:val="00281556"/>
    <w:rsid w:val="00281AFA"/>
    <w:rsid w:val="0028205A"/>
    <w:rsid w:val="002834E0"/>
    <w:rsid w:val="00283BE0"/>
    <w:rsid w:val="00285F2F"/>
    <w:rsid w:val="00286A04"/>
    <w:rsid w:val="00286C76"/>
    <w:rsid w:val="00286F9F"/>
    <w:rsid w:val="00287890"/>
    <w:rsid w:val="00287A6A"/>
    <w:rsid w:val="00287B2E"/>
    <w:rsid w:val="0029014C"/>
    <w:rsid w:val="00290394"/>
    <w:rsid w:val="002906CA"/>
    <w:rsid w:val="00290FEA"/>
    <w:rsid w:val="00292147"/>
    <w:rsid w:val="00292EBC"/>
    <w:rsid w:val="002930F5"/>
    <w:rsid w:val="0029355A"/>
    <w:rsid w:val="00293579"/>
    <w:rsid w:val="00295DD4"/>
    <w:rsid w:val="00297368"/>
    <w:rsid w:val="00297990"/>
    <w:rsid w:val="00297FE7"/>
    <w:rsid w:val="002A106F"/>
    <w:rsid w:val="002A3150"/>
    <w:rsid w:val="002A3F63"/>
    <w:rsid w:val="002A50F7"/>
    <w:rsid w:val="002A56C3"/>
    <w:rsid w:val="002A69B9"/>
    <w:rsid w:val="002A7A41"/>
    <w:rsid w:val="002A7F60"/>
    <w:rsid w:val="002B04B8"/>
    <w:rsid w:val="002B224A"/>
    <w:rsid w:val="002B25F1"/>
    <w:rsid w:val="002B507A"/>
    <w:rsid w:val="002B6F5B"/>
    <w:rsid w:val="002B7617"/>
    <w:rsid w:val="002B7AE7"/>
    <w:rsid w:val="002B7FAD"/>
    <w:rsid w:val="002C08C4"/>
    <w:rsid w:val="002C13D8"/>
    <w:rsid w:val="002C142C"/>
    <w:rsid w:val="002C23A2"/>
    <w:rsid w:val="002C2824"/>
    <w:rsid w:val="002C3421"/>
    <w:rsid w:val="002C4483"/>
    <w:rsid w:val="002C724B"/>
    <w:rsid w:val="002C7C48"/>
    <w:rsid w:val="002D0023"/>
    <w:rsid w:val="002D1773"/>
    <w:rsid w:val="002D1999"/>
    <w:rsid w:val="002D2EF8"/>
    <w:rsid w:val="002D4BE1"/>
    <w:rsid w:val="002D53DC"/>
    <w:rsid w:val="002D5431"/>
    <w:rsid w:val="002D74DB"/>
    <w:rsid w:val="002E0A2B"/>
    <w:rsid w:val="002E12A5"/>
    <w:rsid w:val="002E2360"/>
    <w:rsid w:val="002E2F6E"/>
    <w:rsid w:val="002E4665"/>
    <w:rsid w:val="002E6311"/>
    <w:rsid w:val="002E68D8"/>
    <w:rsid w:val="002E6E51"/>
    <w:rsid w:val="002E6E53"/>
    <w:rsid w:val="002F076C"/>
    <w:rsid w:val="002F0A23"/>
    <w:rsid w:val="002F0C15"/>
    <w:rsid w:val="002F110E"/>
    <w:rsid w:val="002F1B1F"/>
    <w:rsid w:val="002F4853"/>
    <w:rsid w:val="002F4A40"/>
    <w:rsid w:val="002F62A5"/>
    <w:rsid w:val="002F6786"/>
    <w:rsid w:val="002F7AE5"/>
    <w:rsid w:val="002F7E77"/>
    <w:rsid w:val="00300494"/>
    <w:rsid w:val="003004D8"/>
    <w:rsid w:val="0030135B"/>
    <w:rsid w:val="003013D8"/>
    <w:rsid w:val="003014D9"/>
    <w:rsid w:val="003015D6"/>
    <w:rsid w:val="0030160C"/>
    <w:rsid w:val="003016C1"/>
    <w:rsid w:val="003027B9"/>
    <w:rsid w:val="00302D00"/>
    <w:rsid w:val="00303535"/>
    <w:rsid w:val="00307CC9"/>
    <w:rsid w:val="00310A41"/>
    <w:rsid w:val="00310C5C"/>
    <w:rsid w:val="00310F43"/>
    <w:rsid w:val="003113E9"/>
    <w:rsid w:val="00311622"/>
    <w:rsid w:val="00311EC1"/>
    <w:rsid w:val="00311F4D"/>
    <w:rsid w:val="00312369"/>
    <w:rsid w:val="00312565"/>
    <w:rsid w:val="0031367B"/>
    <w:rsid w:val="00313D7B"/>
    <w:rsid w:val="00315D53"/>
    <w:rsid w:val="00316E13"/>
    <w:rsid w:val="003172E1"/>
    <w:rsid w:val="00317914"/>
    <w:rsid w:val="00320015"/>
    <w:rsid w:val="00322FBF"/>
    <w:rsid w:val="00323663"/>
    <w:rsid w:val="00323A3F"/>
    <w:rsid w:val="00323CC4"/>
    <w:rsid w:val="00323D05"/>
    <w:rsid w:val="00323E9B"/>
    <w:rsid w:val="0032421A"/>
    <w:rsid w:val="0032424D"/>
    <w:rsid w:val="00324EC3"/>
    <w:rsid w:val="003251E6"/>
    <w:rsid w:val="00325962"/>
    <w:rsid w:val="00326BE8"/>
    <w:rsid w:val="00327687"/>
    <w:rsid w:val="00327E9F"/>
    <w:rsid w:val="00327F48"/>
    <w:rsid w:val="003307D8"/>
    <w:rsid w:val="00330BBC"/>
    <w:rsid w:val="00333E2A"/>
    <w:rsid w:val="00334B55"/>
    <w:rsid w:val="00336EBA"/>
    <w:rsid w:val="00337BE1"/>
    <w:rsid w:val="00340492"/>
    <w:rsid w:val="00340D06"/>
    <w:rsid w:val="00341173"/>
    <w:rsid w:val="00342224"/>
    <w:rsid w:val="003427CB"/>
    <w:rsid w:val="0034468A"/>
    <w:rsid w:val="003447D4"/>
    <w:rsid w:val="0034492E"/>
    <w:rsid w:val="003461B4"/>
    <w:rsid w:val="003464A0"/>
    <w:rsid w:val="0034701D"/>
    <w:rsid w:val="00350FCE"/>
    <w:rsid w:val="003512DC"/>
    <w:rsid w:val="003518B4"/>
    <w:rsid w:val="00352C35"/>
    <w:rsid w:val="00353CFB"/>
    <w:rsid w:val="0035602F"/>
    <w:rsid w:val="0035660B"/>
    <w:rsid w:val="0035674B"/>
    <w:rsid w:val="00357036"/>
    <w:rsid w:val="00357D30"/>
    <w:rsid w:val="00362062"/>
    <w:rsid w:val="00363436"/>
    <w:rsid w:val="0036407B"/>
    <w:rsid w:val="00364342"/>
    <w:rsid w:val="00364CF0"/>
    <w:rsid w:val="00365F70"/>
    <w:rsid w:val="0037060D"/>
    <w:rsid w:val="00370A3E"/>
    <w:rsid w:val="0037134B"/>
    <w:rsid w:val="003718A0"/>
    <w:rsid w:val="00371D79"/>
    <w:rsid w:val="00372D1B"/>
    <w:rsid w:val="00373241"/>
    <w:rsid w:val="00373F92"/>
    <w:rsid w:val="00374B3B"/>
    <w:rsid w:val="00375A11"/>
    <w:rsid w:val="003763C8"/>
    <w:rsid w:val="00376568"/>
    <w:rsid w:val="00376987"/>
    <w:rsid w:val="003778A3"/>
    <w:rsid w:val="00381519"/>
    <w:rsid w:val="003816D2"/>
    <w:rsid w:val="00383FA5"/>
    <w:rsid w:val="00384B40"/>
    <w:rsid w:val="003854C1"/>
    <w:rsid w:val="0038599D"/>
    <w:rsid w:val="00386003"/>
    <w:rsid w:val="00387A27"/>
    <w:rsid w:val="00387E10"/>
    <w:rsid w:val="00390A82"/>
    <w:rsid w:val="00391232"/>
    <w:rsid w:val="003918EC"/>
    <w:rsid w:val="00391D52"/>
    <w:rsid w:val="00391DBD"/>
    <w:rsid w:val="00392908"/>
    <w:rsid w:val="00393FFB"/>
    <w:rsid w:val="003940EF"/>
    <w:rsid w:val="00394BEE"/>
    <w:rsid w:val="00394CD6"/>
    <w:rsid w:val="00397716"/>
    <w:rsid w:val="00397A14"/>
    <w:rsid w:val="00397C66"/>
    <w:rsid w:val="003A09B5"/>
    <w:rsid w:val="003A0AD7"/>
    <w:rsid w:val="003A0C1F"/>
    <w:rsid w:val="003A26AE"/>
    <w:rsid w:val="003A2F28"/>
    <w:rsid w:val="003A4205"/>
    <w:rsid w:val="003A4235"/>
    <w:rsid w:val="003A48FA"/>
    <w:rsid w:val="003A4BFC"/>
    <w:rsid w:val="003A5BF7"/>
    <w:rsid w:val="003A5E74"/>
    <w:rsid w:val="003A60BA"/>
    <w:rsid w:val="003A7652"/>
    <w:rsid w:val="003B25E4"/>
    <w:rsid w:val="003B2A68"/>
    <w:rsid w:val="003B3372"/>
    <w:rsid w:val="003B44E4"/>
    <w:rsid w:val="003B55FC"/>
    <w:rsid w:val="003B7508"/>
    <w:rsid w:val="003C019C"/>
    <w:rsid w:val="003C0295"/>
    <w:rsid w:val="003C08A7"/>
    <w:rsid w:val="003C0A2F"/>
    <w:rsid w:val="003C0D72"/>
    <w:rsid w:val="003C332D"/>
    <w:rsid w:val="003C336D"/>
    <w:rsid w:val="003C414D"/>
    <w:rsid w:val="003C5D78"/>
    <w:rsid w:val="003C628A"/>
    <w:rsid w:val="003C69A8"/>
    <w:rsid w:val="003D241A"/>
    <w:rsid w:val="003D247D"/>
    <w:rsid w:val="003D278C"/>
    <w:rsid w:val="003D2819"/>
    <w:rsid w:val="003D2CE4"/>
    <w:rsid w:val="003D4162"/>
    <w:rsid w:val="003D4403"/>
    <w:rsid w:val="003D5B6E"/>
    <w:rsid w:val="003D5E97"/>
    <w:rsid w:val="003D7381"/>
    <w:rsid w:val="003E0204"/>
    <w:rsid w:val="003E0365"/>
    <w:rsid w:val="003E0589"/>
    <w:rsid w:val="003E2995"/>
    <w:rsid w:val="003E2FA2"/>
    <w:rsid w:val="003E32D1"/>
    <w:rsid w:val="003E424E"/>
    <w:rsid w:val="003E634C"/>
    <w:rsid w:val="003E7736"/>
    <w:rsid w:val="003E7820"/>
    <w:rsid w:val="003F0CB6"/>
    <w:rsid w:val="003F2582"/>
    <w:rsid w:val="003F2AE4"/>
    <w:rsid w:val="003F399C"/>
    <w:rsid w:val="003F512F"/>
    <w:rsid w:val="003F5156"/>
    <w:rsid w:val="003F601C"/>
    <w:rsid w:val="003F67A5"/>
    <w:rsid w:val="00400F79"/>
    <w:rsid w:val="00401173"/>
    <w:rsid w:val="00401617"/>
    <w:rsid w:val="00402DFB"/>
    <w:rsid w:val="00403D10"/>
    <w:rsid w:val="00406886"/>
    <w:rsid w:val="00407E35"/>
    <w:rsid w:val="0041066B"/>
    <w:rsid w:val="00410A9E"/>
    <w:rsid w:val="00410DC5"/>
    <w:rsid w:val="00410EFC"/>
    <w:rsid w:val="00412011"/>
    <w:rsid w:val="00413501"/>
    <w:rsid w:val="00413A2C"/>
    <w:rsid w:val="004149B0"/>
    <w:rsid w:val="004149D9"/>
    <w:rsid w:val="004149F3"/>
    <w:rsid w:val="00414EA2"/>
    <w:rsid w:val="004152F1"/>
    <w:rsid w:val="00415341"/>
    <w:rsid w:val="0041762F"/>
    <w:rsid w:val="00417C85"/>
    <w:rsid w:val="00417EC4"/>
    <w:rsid w:val="004203F4"/>
    <w:rsid w:val="0042082C"/>
    <w:rsid w:val="00420953"/>
    <w:rsid w:val="00420F81"/>
    <w:rsid w:val="004213C2"/>
    <w:rsid w:val="0042273C"/>
    <w:rsid w:val="00422A43"/>
    <w:rsid w:val="004235F1"/>
    <w:rsid w:val="00424579"/>
    <w:rsid w:val="00424B50"/>
    <w:rsid w:val="00425720"/>
    <w:rsid w:val="0042610D"/>
    <w:rsid w:val="00426144"/>
    <w:rsid w:val="00426FF5"/>
    <w:rsid w:val="00427E04"/>
    <w:rsid w:val="00430FD6"/>
    <w:rsid w:val="00431643"/>
    <w:rsid w:val="00431BB8"/>
    <w:rsid w:val="00432D23"/>
    <w:rsid w:val="00432DA7"/>
    <w:rsid w:val="004345D0"/>
    <w:rsid w:val="00434604"/>
    <w:rsid w:val="00434CAC"/>
    <w:rsid w:val="00435DA8"/>
    <w:rsid w:val="00436EB2"/>
    <w:rsid w:val="00437DC4"/>
    <w:rsid w:val="00441F6F"/>
    <w:rsid w:val="0044303C"/>
    <w:rsid w:val="0044309F"/>
    <w:rsid w:val="004444B7"/>
    <w:rsid w:val="004455F7"/>
    <w:rsid w:val="00445E90"/>
    <w:rsid w:val="004474BB"/>
    <w:rsid w:val="00447BE9"/>
    <w:rsid w:val="00447C3A"/>
    <w:rsid w:val="00447ECF"/>
    <w:rsid w:val="00447EF5"/>
    <w:rsid w:val="00447FBF"/>
    <w:rsid w:val="004504E6"/>
    <w:rsid w:val="00451159"/>
    <w:rsid w:val="00451478"/>
    <w:rsid w:val="00451D6E"/>
    <w:rsid w:val="004528C7"/>
    <w:rsid w:val="00452B4C"/>
    <w:rsid w:val="00453231"/>
    <w:rsid w:val="0045359D"/>
    <w:rsid w:val="0045493B"/>
    <w:rsid w:val="00454A55"/>
    <w:rsid w:val="00456485"/>
    <w:rsid w:val="00456631"/>
    <w:rsid w:val="00456BDE"/>
    <w:rsid w:val="004601C1"/>
    <w:rsid w:val="00461BA9"/>
    <w:rsid w:val="00462145"/>
    <w:rsid w:val="004628B0"/>
    <w:rsid w:val="00462AB3"/>
    <w:rsid w:val="0046496F"/>
    <w:rsid w:val="00465660"/>
    <w:rsid w:val="004659B1"/>
    <w:rsid w:val="00465B9E"/>
    <w:rsid w:val="004661F5"/>
    <w:rsid w:val="00466214"/>
    <w:rsid w:val="0046653F"/>
    <w:rsid w:val="00467858"/>
    <w:rsid w:val="004704D4"/>
    <w:rsid w:val="00470EEB"/>
    <w:rsid w:val="00472298"/>
    <w:rsid w:val="00473720"/>
    <w:rsid w:val="004751C2"/>
    <w:rsid w:val="0047592C"/>
    <w:rsid w:val="00475C72"/>
    <w:rsid w:val="00475D82"/>
    <w:rsid w:val="004766EE"/>
    <w:rsid w:val="0047682C"/>
    <w:rsid w:val="004768D9"/>
    <w:rsid w:val="00476F4F"/>
    <w:rsid w:val="00477F78"/>
    <w:rsid w:val="00480032"/>
    <w:rsid w:val="00481572"/>
    <w:rsid w:val="00482105"/>
    <w:rsid w:val="00482848"/>
    <w:rsid w:val="0048291D"/>
    <w:rsid w:val="00482E7C"/>
    <w:rsid w:val="004832F6"/>
    <w:rsid w:val="00483484"/>
    <w:rsid w:val="004846F1"/>
    <w:rsid w:val="00485A60"/>
    <w:rsid w:val="0048683B"/>
    <w:rsid w:val="00487544"/>
    <w:rsid w:val="00487769"/>
    <w:rsid w:val="004879DA"/>
    <w:rsid w:val="00487D24"/>
    <w:rsid w:val="00487D9A"/>
    <w:rsid w:val="00490B2A"/>
    <w:rsid w:val="00491E7B"/>
    <w:rsid w:val="004934E8"/>
    <w:rsid w:val="0049379A"/>
    <w:rsid w:val="00493ED9"/>
    <w:rsid w:val="004941C4"/>
    <w:rsid w:val="004960DD"/>
    <w:rsid w:val="0049640F"/>
    <w:rsid w:val="0049649A"/>
    <w:rsid w:val="0049697C"/>
    <w:rsid w:val="00497E79"/>
    <w:rsid w:val="004A2C16"/>
    <w:rsid w:val="004A51C9"/>
    <w:rsid w:val="004A592F"/>
    <w:rsid w:val="004A68F9"/>
    <w:rsid w:val="004A691A"/>
    <w:rsid w:val="004B22BF"/>
    <w:rsid w:val="004B22CE"/>
    <w:rsid w:val="004B25FE"/>
    <w:rsid w:val="004B38D5"/>
    <w:rsid w:val="004B3FD1"/>
    <w:rsid w:val="004B4856"/>
    <w:rsid w:val="004B5B89"/>
    <w:rsid w:val="004B60DB"/>
    <w:rsid w:val="004B78E8"/>
    <w:rsid w:val="004B79C1"/>
    <w:rsid w:val="004C0A2E"/>
    <w:rsid w:val="004C0BD9"/>
    <w:rsid w:val="004C3281"/>
    <w:rsid w:val="004C32F1"/>
    <w:rsid w:val="004C3E1E"/>
    <w:rsid w:val="004C3EBD"/>
    <w:rsid w:val="004C3FDB"/>
    <w:rsid w:val="004C4022"/>
    <w:rsid w:val="004C4A75"/>
    <w:rsid w:val="004C7201"/>
    <w:rsid w:val="004C7DDE"/>
    <w:rsid w:val="004C7F2F"/>
    <w:rsid w:val="004D0020"/>
    <w:rsid w:val="004D244E"/>
    <w:rsid w:val="004D25C3"/>
    <w:rsid w:val="004D5B95"/>
    <w:rsid w:val="004D5BBE"/>
    <w:rsid w:val="004D77DC"/>
    <w:rsid w:val="004D77F7"/>
    <w:rsid w:val="004D7D16"/>
    <w:rsid w:val="004E055F"/>
    <w:rsid w:val="004E080E"/>
    <w:rsid w:val="004E091D"/>
    <w:rsid w:val="004E1770"/>
    <w:rsid w:val="004E1D79"/>
    <w:rsid w:val="004E204A"/>
    <w:rsid w:val="004E25B8"/>
    <w:rsid w:val="004E2C96"/>
    <w:rsid w:val="004E3F12"/>
    <w:rsid w:val="004E4337"/>
    <w:rsid w:val="004E4F33"/>
    <w:rsid w:val="004E6522"/>
    <w:rsid w:val="004E6E90"/>
    <w:rsid w:val="004E7194"/>
    <w:rsid w:val="004F01CF"/>
    <w:rsid w:val="004F1FFD"/>
    <w:rsid w:val="004F2D8D"/>
    <w:rsid w:val="004F3CD9"/>
    <w:rsid w:val="004F407C"/>
    <w:rsid w:val="004F5A83"/>
    <w:rsid w:val="004F7D8B"/>
    <w:rsid w:val="00500785"/>
    <w:rsid w:val="0050123E"/>
    <w:rsid w:val="0050181B"/>
    <w:rsid w:val="00501DF0"/>
    <w:rsid w:val="00502496"/>
    <w:rsid w:val="00502A9C"/>
    <w:rsid w:val="00503B95"/>
    <w:rsid w:val="00504A8E"/>
    <w:rsid w:val="00505CFF"/>
    <w:rsid w:val="00505E84"/>
    <w:rsid w:val="0050608A"/>
    <w:rsid w:val="005063C0"/>
    <w:rsid w:val="005100FC"/>
    <w:rsid w:val="00510822"/>
    <w:rsid w:val="005108B6"/>
    <w:rsid w:val="00513FE5"/>
    <w:rsid w:val="005143EF"/>
    <w:rsid w:val="00515298"/>
    <w:rsid w:val="00515F6B"/>
    <w:rsid w:val="005162F7"/>
    <w:rsid w:val="00516F7E"/>
    <w:rsid w:val="00517FF4"/>
    <w:rsid w:val="00520CE2"/>
    <w:rsid w:val="00525249"/>
    <w:rsid w:val="005252DA"/>
    <w:rsid w:val="00525396"/>
    <w:rsid w:val="00526130"/>
    <w:rsid w:val="005265B1"/>
    <w:rsid w:val="00526B28"/>
    <w:rsid w:val="00526D08"/>
    <w:rsid w:val="005300EB"/>
    <w:rsid w:val="00530B43"/>
    <w:rsid w:val="005310C9"/>
    <w:rsid w:val="00532227"/>
    <w:rsid w:val="0053280C"/>
    <w:rsid w:val="00532F8B"/>
    <w:rsid w:val="005356E8"/>
    <w:rsid w:val="00536DC5"/>
    <w:rsid w:val="005375D0"/>
    <w:rsid w:val="00541E0D"/>
    <w:rsid w:val="00541ECA"/>
    <w:rsid w:val="0054283A"/>
    <w:rsid w:val="00543769"/>
    <w:rsid w:val="00544215"/>
    <w:rsid w:val="0054581F"/>
    <w:rsid w:val="00545C67"/>
    <w:rsid w:val="00546EDA"/>
    <w:rsid w:val="00547814"/>
    <w:rsid w:val="005508DE"/>
    <w:rsid w:val="00550E80"/>
    <w:rsid w:val="00551E65"/>
    <w:rsid w:val="00551EF8"/>
    <w:rsid w:val="0055270D"/>
    <w:rsid w:val="00552A7F"/>
    <w:rsid w:val="00552BD7"/>
    <w:rsid w:val="00552C23"/>
    <w:rsid w:val="00555955"/>
    <w:rsid w:val="0055596C"/>
    <w:rsid w:val="005559D4"/>
    <w:rsid w:val="00555CD7"/>
    <w:rsid w:val="005563FB"/>
    <w:rsid w:val="0055650F"/>
    <w:rsid w:val="00557098"/>
    <w:rsid w:val="00562DDA"/>
    <w:rsid w:val="00564118"/>
    <w:rsid w:val="005641D0"/>
    <w:rsid w:val="0056536B"/>
    <w:rsid w:val="00565E58"/>
    <w:rsid w:val="00566D44"/>
    <w:rsid w:val="005672A4"/>
    <w:rsid w:val="005676CB"/>
    <w:rsid w:val="0057003B"/>
    <w:rsid w:val="005707A5"/>
    <w:rsid w:val="00570EA7"/>
    <w:rsid w:val="00571460"/>
    <w:rsid w:val="005714E4"/>
    <w:rsid w:val="00571A0E"/>
    <w:rsid w:val="005720E2"/>
    <w:rsid w:val="00573303"/>
    <w:rsid w:val="00573338"/>
    <w:rsid w:val="0057362C"/>
    <w:rsid w:val="00574C13"/>
    <w:rsid w:val="00574D92"/>
    <w:rsid w:val="00577459"/>
    <w:rsid w:val="005774E9"/>
    <w:rsid w:val="0057763A"/>
    <w:rsid w:val="0058026F"/>
    <w:rsid w:val="00580C6A"/>
    <w:rsid w:val="00581083"/>
    <w:rsid w:val="00581E1B"/>
    <w:rsid w:val="005822BD"/>
    <w:rsid w:val="0058374C"/>
    <w:rsid w:val="00585923"/>
    <w:rsid w:val="00587C84"/>
    <w:rsid w:val="005903D1"/>
    <w:rsid w:val="00590ECE"/>
    <w:rsid w:val="00591AC1"/>
    <w:rsid w:val="00591F84"/>
    <w:rsid w:val="005921EB"/>
    <w:rsid w:val="00592FED"/>
    <w:rsid w:val="00593E6F"/>
    <w:rsid w:val="00594172"/>
    <w:rsid w:val="00594CBD"/>
    <w:rsid w:val="005950C0"/>
    <w:rsid w:val="00595FAA"/>
    <w:rsid w:val="00596212"/>
    <w:rsid w:val="00597492"/>
    <w:rsid w:val="005A2BB9"/>
    <w:rsid w:val="005A331B"/>
    <w:rsid w:val="005A4B49"/>
    <w:rsid w:val="005A4DDA"/>
    <w:rsid w:val="005A6D67"/>
    <w:rsid w:val="005B00D9"/>
    <w:rsid w:val="005B078B"/>
    <w:rsid w:val="005B14E8"/>
    <w:rsid w:val="005B1F88"/>
    <w:rsid w:val="005B273E"/>
    <w:rsid w:val="005B27E3"/>
    <w:rsid w:val="005B2ED7"/>
    <w:rsid w:val="005B3405"/>
    <w:rsid w:val="005B3F7D"/>
    <w:rsid w:val="005B4453"/>
    <w:rsid w:val="005B5042"/>
    <w:rsid w:val="005B5EA3"/>
    <w:rsid w:val="005B7609"/>
    <w:rsid w:val="005C0D21"/>
    <w:rsid w:val="005C0F92"/>
    <w:rsid w:val="005C201B"/>
    <w:rsid w:val="005C219E"/>
    <w:rsid w:val="005C3C07"/>
    <w:rsid w:val="005C3EF9"/>
    <w:rsid w:val="005C56F8"/>
    <w:rsid w:val="005C5A60"/>
    <w:rsid w:val="005C729D"/>
    <w:rsid w:val="005D0558"/>
    <w:rsid w:val="005D2603"/>
    <w:rsid w:val="005D2872"/>
    <w:rsid w:val="005D4529"/>
    <w:rsid w:val="005D45F6"/>
    <w:rsid w:val="005D5450"/>
    <w:rsid w:val="005D7052"/>
    <w:rsid w:val="005D7ADC"/>
    <w:rsid w:val="005D7CEA"/>
    <w:rsid w:val="005D7F26"/>
    <w:rsid w:val="005E0D3F"/>
    <w:rsid w:val="005E1E86"/>
    <w:rsid w:val="005E2B27"/>
    <w:rsid w:val="005E2D98"/>
    <w:rsid w:val="005E30CD"/>
    <w:rsid w:val="005E3BA6"/>
    <w:rsid w:val="005E3D18"/>
    <w:rsid w:val="005E508F"/>
    <w:rsid w:val="005E572D"/>
    <w:rsid w:val="005E5E1E"/>
    <w:rsid w:val="005E65DD"/>
    <w:rsid w:val="005E729F"/>
    <w:rsid w:val="005E7DDB"/>
    <w:rsid w:val="005E7E36"/>
    <w:rsid w:val="005F04C5"/>
    <w:rsid w:val="005F055B"/>
    <w:rsid w:val="005F08EF"/>
    <w:rsid w:val="005F09C6"/>
    <w:rsid w:val="005F1064"/>
    <w:rsid w:val="005F2057"/>
    <w:rsid w:val="005F210E"/>
    <w:rsid w:val="005F4047"/>
    <w:rsid w:val="005F49F0"/>
    <w:rsid w:val="005F5222"/>
    <w:rsid w:val="005F6DA8"/>
    <w:rsid w:val="006000E9"/>
    <w:rsid w:val="006013EC"/>
    <w:rsid w:val="0060163F"/>
    <w:rsid w:val="006018A3"/>
    <w:rsid w:val="00601F37"/>
    <w:rsid w:val="006022A0"/>
    <w:rsid w:val="00602FEE"/>
    <w:rsid w:val="006038CB"/>
    <w:rsid w:val="00603DCC"/>
    <w:rsid w:val="006044BF"/>
    <w:rsid w:val="00604CF8"/>
    <w:rsid w:val="00604D5B"/>
    <w:rsid w:val="00605712"/>
    <w:rsid w:val="00605AA0"/>
    <w:rsid w:val="00605E42"/>
    <w:rsid w:val="006073D5"/>
    <w:rsid w:val="00607498"/>
    <w:rsid w:val="006101D2"/>
    <w:rsid w:val="00610E58"/>
    <w:rsid w:val="00611856"/>
    <w:rsid w:val="00611EDF"/>
    <w:rsid w:val="006121CE"/>
    <w:rsid w:val="006128FA"/>
    <w:rsid w:val="006140F8"/>
    <w:rsid w:val="00614AC1"/>
    <w:rsid w:val="00615826"/>
    <w:rsid w:val="0061588E"/>
    <w:rsid w:val="00616EE1"/>
    <w:rsid w:val="006200AD"/>
    <w:rsid w:val="00620C17"/>
    <w:rsid w:val="00620D32"/>
    <w:rsid w:val="0062171C"/>
    <w:rsid w:val="00621EA8"/>
    <w:rsid w:val="00622D01"/>
    <w:rsid w:val="0062338A"/>
    <w:rsid w:val="00623D2A"/>
    <w:rsid w:val="00624C9C"/>
    <w:rsid w:val="00626617"/>
    <w:rsid w:val="006270D6"/>
    <w:rsid w:val="0062756E"/>
    <w:rsid w:val="006315FB"/>
    <w:rsid w:val="00633860"/>
    <w:rsid w:val="00635F40"/>
    <w:rsid w:val="006372A3"/>
    <w:rsid w:val="006377A8"/>
    <w:rsid w:val="00640727"/>
    <w:rsid w:val="00640BC3"/>
    <w:rsid w:val="0064315C"/>
    <w:rsid w:val="006434C8"/>
    <w:rsid w:val="00643577"/>
    <w:rsid w:val="0064373D"/>
    <w:rsid w:val="006469AD"/>
    <w:rsid w:val="006472C7"/>
    <w:rsid w:val="00650068"/>
    <w:rsid w:val="00650758"/>
    <w:rsid w:val="00650E13"/>
    <w:rsid w:val="00651380"/>
    <w:rsid w:val="00651882"/>
    <w:rsid w:val="00652981"/>
    <w:rsid w:val="00652D30"/>
    <w:rsid w:val="006536B6"/>
    <w:rsid w:val="00655050"/>
    <w:rsid w:val="00655E4E"/>
    <w:rsid w:val="0065647E"/>
    <w:rsid w:val="00663A0B"/>
    <w:rsid w:val="00664B6E"/>
    <w:rsid w:val="00664F74"/>
    <w:rsid w:val="0066550F"/>
    <w:rsid w:val="00666657"/>
    <w:rsid w:val="0066753B"/>
    <w:rsid w:val="00667855"/>
    <w:rsid w:val="00670CDB"/>
    <w:rsid w:val="00672D77"/>
    <w:rsid w:val="00673A3B"/>
    <w:rsid w:val="00673F35"/>
    <w:rsid w:val="00674094"/>
    <w:rsid w:val="006762E8"/>
    <w:rsid w:val="006774C7"/>
    <w:rsid w:val="00680FD7"/>
    <w:rsid w:val="006811FC"/>
    <w:rsid w:val="0068147F"/>
    <w:rsid w:val="006830FD"/>
    <w:rsid w:val="0068342B"/>
    <w:rsid w:val="00683662"/>
    <w:rsid w:val="00683E75"/>
    <w:rsid w:val="00684CEF"/>
    <w:rsid w:val="00684D71"/>
    <w:rsid w:val="006852C9"/>
    <w:rsid w:val="00686056"/>
    <w:rsid w:val="00686B0B"/>
    <w:rsid w:val="00691212"/>
    <w:rsid w:val="00691525"/>
    <w:rsid w:val="00692715"/>
    <w:rsid w:val="00692FC8"/>
    <w:rsid w:val="00693388"/>
    <w:rsid w:val="00693638"/>
    <w:rsid w:val="00693F0B"/>
    <w:rsid w:val="006942AC"/>
    <w:rsid w:val="0069432F"/>
    <w:rsid w:val="006945F4"/>
    <w:rsid w:val="00694690"/>
    <w:rsid w:val="006A08CE"/>
    <w:rsid w:val="006A0F01"/>
    <w:rsid w:val="006A128A"/>
    <w:rsid w:val="006A2C5B"/>
    <w:rsid w:val="006A2D7C"/>
    <w:rsid w:val="006A3FED"/>
    <w:rsid w:val="006A53E2"/>
    <w:rsid w:val="006A54E4"/>
    <w:rsid w:val="006A599E"/>
    <w:rsid w:val="006A78B1"/>
    <w:rsid w:val="006B03ED"/>
    <w:rsid w:val="006B0815"/>
    <w:rsid w:val="006B0CA3"/>
    <w:rsid w:val="006B0F4E"/>
    <w:rsid w:val="006B17E1"/>
    <w:rsid w:val="006B4FDB"/>
    <w:rsid w:val="006B57D8"/>
    <w:rsid w:val="006B59F4"/>
    <w:rsid w:val="006B6039"/>
    <w:rsid w:val="006B6343"/>
    <w:rsid w:val="006B70E5"/>
    <w:rsid w:val="006B743F"/>
    <w:rsid w:val="006B7F79"/>
    <w:rsid w:val="006C02D7"/>
    <w:rsid w:val="006C0FD1"/>
    <w:rsid w:val="006C1F0E"/>
    <w:rsid w:val="006C2B5F"/>
    <w:rsid w:val="006C38E2"/>
    <w:rsid w:val="006C46A5"/>
    <w:rsid w:val="006C4CDF"/>
    <w:rsid w:val="006C5F2F"/>
    <w:rsid w:val="006C6C69"/>
    <w:rsid w:val="006D07DD"/>
    <w:rsid w:val="006D0F45"/>
    <w:rsid w:val="006D2029"/>
    <w:rsid w:val="006D3365"/>
    <w:rsid w:val="006D33BE"/>
    <w:rsid w:val="006E02BE"/>
    <w:rsid w:val="006E1875"/>
    <w:rsid w:val="006E1C4A"/>
    <w:rsid w:val="006E1E95"/>
    <w:rsid w:val="006E3945"/>
    <w:rsid w:val="006E450C"/>
    <w:rsid w:val="006E5386"/>
    <w:rsid w:val="006E61D3"/>
    <w:rsid w:val="006E6641"/>
    <w:rsid w:val="006E7127"/>
    <w:rsid w:val="006E7F2B"/>
    <w:rsid w:val="006F0165"/>
    <w:rsid w:val="006F1450"/>
    <w:rsid w:val="006F1B41"/>
    <w:rsid w:val="006F2023"/>
    <w:rsid w:val="006F34AE"/>
    <w:rsid w:val="006F46D5"/>
    <w:rsid w:val="006F4D84"/>
    <w:rsid w:val="006F5A88"/>
    <w:rsid w:val="006F5B92"/>
    <w:rsid w:val="006F7316"/>
    <w:rsid w:val="006F78FA"/>
    <w:rsid w:val="0070032E"/>
    <w:rsid w:val="007006BE"/>
    <w:rsid w:val="00702284"/>
    <w:rsid w:val="007025A5"/>
    <w:rsid w:val="00702C31"/>
    <w:rsid w:val="0070371D"/>
    <w:rsid w:val="00704A65"/>
    <w:rsid w:val="00705779"/>
    <w:rsid w:val="00706243"/>
    <w:rsid w:val="0070636A"/>
    <w:rsid w:val="007073A7"/>
    <w:rsid w:val="007074DD"/>
    <w:rsid w:val="00707590"/>
    <w:rsid w:val="007100BB"/>
    <w:rsid w:val="00711116"/>
    <w:rsid w:val="00712941"/>
    <w:rsid w:val="00714B8A"/>
    <w:rsid w:val="00714F86"/>
    <w:rsid w:val="00715758"/>
    <w:rsid w:val="0071641A"/>
    <w:rsid w:val="0071705A"/>
    <w:rsid w:val="007179CE"/>
    <w:rsid w:val="00721E9B"/>
    <w:rsid w:val="007220DB"/>
    <w:rsid w:val="007226CB"/>
    <w:rsid w:val="00723054"/>
    <w:rsid w:val="00723237"/>
    <w:rsid w:val="00723726"/>
    <w:rsid w:val="00723A9D"/>
    <w:rsid w:val="007246F1"/>
    <w:rsid w:val="0072542F"/>
    <w:rsid w:val="007257CB"/>
    <w:rsid w:val="00725B0A"/>
    <w:rsid w:val="00727884"/>
    <w:rsid w:val="00730D0D"/>
    <w:rsid w:val="007318BA"/>
    <w:rsid w:val="00731F86"/>
    <w:rsid w:val="00731FAB"/>
    <w:rsid w:val="00732500"/>
    <w:rsid w:val="007335EE"/>
    <w:rsid w:val="00733D71"/>
    <w:rsid w:val="00734744"/>
    <w:rsid w:val="00736D64"/>
    <w:rsid w:val="007374CE"/>
    <w:rsid w:val="00737ABA"/>
    <w:rsid w:val="00740CF5"/>
    <w:rsid w:val="007412CE"/>
    <w:rsid w:val="00741C9A"/>
    <w:rsid w:val="0074215C"/>
    <w:rsid w:val="0074323F"/>
    <w:rsid w:val="007432F7"/>
    <w:rsid w:val="00743C35"/>
    <w:rsid w:val="0074589E"/>
    <w:rsid w:val="00746CF7"/>
    <w:rsid w:val="00746FEE"/>
    <w:rsid w:val="00747060"/>
    <w:rsid w:val="007506B9"/>
    <w:rsid w:val="00750EDD"/>
    <w:rsid w:val="0075135C"/>
    <w:rsid w:val="007520E7"/>
    <w:rsid w:val="00753753"/>
    <w:rsid w:val="00756C15"/>
    <w:rsid w:val="00760A41"/>
    <w:rsid w:val="00760AE4"/>
    <w:rsid w:val="007628F6"/>
    <w:rsid w:val="00762F29"/>
    <w:rsid w:val="00763081"/>
    <w:rsid w:val="00765A66"/>
    <w:rsid w:val="00767C26"/>
    <w:rsid w:val="007701D5"/>
    <w:rsid w:val="007702B0"/>
    <w:rsid w:val="00770799"/>
    <w:rsid w:val="007709DA"/>
    <w:rsid w:val="0077391C"/>
    <w:rsid w:val="00774D55"/>
    <w:rsid w:val="0077522D"/>
    <w:rsid w:val="007755ED"/>
    <w:rsid w:val="007761A9"/>
    <w:rsid w:val="007762D9"/>
    <w:rsid w:val="00776ADE"/>
    <w:rsid w:val="00776BA7"/>
    <w:rsid w:val="0077783E"/>
    <w:rsid w:val="00781701"/>
    <w:rsid w:val="00781768"/>
    <w:rsid w:val="00781FE0"/>
    <w:rsid w:val="00782179"/>
    <w:rsid w:val="00782A09"/>
    <w:rsid w:val="0078399E"/>
    <w:rsid w:val="00785A3F"/>
    <w:rsid w:val="0079002B"/>
    <w:rsid w:val="00790483"/>
    <w:rsid w:val="00790781"/>
    <w:rsid w:val="0079115D"/>
    <w:rsid w:val="0079289A"/>
    <w:rsid w:val="00792AFD"/>
    <w:rsid w:val="00792B96"/>
    <w:rsid w:val="0079636B"/>
    <w:rsid w:val="00796886"/>
    <w:rsid w:val="00797C93"/>
    <w:rsid w:val="007A08A8"/>
    <w:rsid w:val="007A1050"/>
    <w:rsid w:val="007A14AE"/>
    <w:rsid w:val="007A1577"/>
    <w:rsid w:val="007A358F"/>
    <w:rsid w:val="007A4F71"/>
    <w:rsid w:val="007A6434"/>
    <w:rsid w:val="007A674A"/>
    <w:rsid w:val="007A6871"/>
    <w:rsid w:val="007A7C43"/>
    <w:rsid w:val="007B0004"/>
    <w:rsid w:val="007B0913"/>
    <w:rsid w:val="007B1102"/>
    <w:rsid w:val="007B181D"/>
    <w:rsid w:val="007B296E"/>
    <w:rsid w:val="007B31F2"/>
    <w:rsid w:val="007B548D"/>
    <w:rsid w:val="007B61F1"/>
    <w:rsid w:val="007B66A3"/>
    <w:rsid w:val="007B681A"/>
    <w:rsid w:val="007C00CE"/>
    <w:rsid w:val="007C1AAD"/>
    <w:rsid w:val="007C286D"/>
    <w:rsid w:val="007C4301"/>
    <w:rsid w:val="007C5891"/>
    <w:rsid w:val="007C5946"/>
    <w:rsid w:val="007C629C"/>
    <w:rsid w:val="007C7BAB"/>
    <w:rsid w:val="007D0C74"/>
    <w:rsid w:val="007D14B9"/>
    <w:rsid w:val="007D21F4"/>
    <w:rsid w:val="007D25FC"/>
    <w:rsid w:val="007D344A"/>
    <w:rsid w:val="007D43A1"/>
    <w:rsid w:val="007D4DF3"/>
    <w:rsid w:val="007D5440"/>
    <w:rsid w:val="007E1EA7"/>
    <w:rsid w:val="007E2411"/>
    <w:rsid w:val="007E243B"/>
    <w:rsid w:val="007E2AF5"/>
    <w:rsid w:val="007E3401"/>
    <w:rsid w:val="007E3E59"/>
    <w:rsid w:val="007E5553"/>
    <w:rsid w:val="007E57A6"/>
    <w:rsid w:val="007E609E"/>
    <w:rsid w:val="007E7271"/>
    <w:rsid w:val="007F042B"/>
    <w:rsid w:val="007F0F65"/>
    <w:rsid w:val="007F13D3"/>
    <w:rsid w:val="007F37DC"/>
    <w:rsid w:val="007F43FD"/>
    <w:rsid w:val="007F4DDF"/>
    <w:rsid w:val="007F5B87"/>
    <w:rsid w:val="007F65E0"/>
    <w:rsid w:val="00800B91"/>
    <w:rsid w:val="00800F4E"/>
    <w:rsid w:val="00801E05"/>
    <w:rsid w:val="00802C4C"/>
    <w:rsid w:val="0080312F"/>
    <w:rsid w:val="008045E8"/>
    <w:rsid w:val="008055C6"/>
    <w:rsid w:val="0080707C"/>
    <w:rsid w:val="008074B0"/>
    <w:rsid w:val="008076C4"/>
    <w:rsid w:val="00810229"/>
    <w:rsid w:val="00812926"/>
    <w:rsid w:val="00814361"/>
    <w:rsid w:val="00814ACA"/>
    <w:rsid w:val="0081513F"/>
    <w:rsid w:val="00817FBF"/>
    <w:rsid w:val="0082098F"/>
    <w:rsid w:val="00820A9B"/>
    <w:rsid w:val="00822413"/>
    <w:rsid w:val="00822AFC"/>
    <w:rsid w:val="008249EE"/>
    <w:rsid w:val="00824FCF"/>
    <w:rsid w:val="00825FB7"/>
    <w:rsid w:val="00826E12"/>
    <w:rsid w:val="00827162"/>
    <w:rsid w:val="008273DA"/>
    <w:rsid w:val="00827E41"/>
    <w:rsid w:val="00830282"/>
    <w:rsid w:val="00832212"/>
    <w:rsid w:val="00834745"/>
    <w:rsid w:val="00835DF0"/>
    <w:rsid w:val="008366EC"/>
    <w:rsid w:val="0084079F"/>
    <w:rsid w:val="00840D8A"/>
    <w:rsid w:val="00840DF4"/>
    <w:rsid w:val="00841607"/>
    <w:rsid w:val="00841627"/>
    <w:rsid w:val="00843821"/>
    <w:rsid w:val="00843E17"/>
    <w:rsid w:val="00845D07"/>
    <w:rsid w:val="0084602B"/>
    <w:rsid w:val="0084756F"/>
    <w:rsid w:val="00847B6A"/>
    <w:rsid w:val="00847BD8"/>
    <w:rsid w:val="00850FEC"/>
    <w:rsid w:val="008511BA"/>
    <w:rsid w:val="00852456"/>
    <w:rsid w:val="00852A3A"/>
    <w:rsid w:val="00854C14"/>
    <w:rsid w:val="0085530D"/>
    <w:rsid w:val="00855D71"/>
    <w:rsid w:val="00860766"/>
    <w:rsid w:val="008613CF"/>
    <w:rsid w:val="00861731"/>
    <w:rsid w:val="008624B3"/>
    <w:rsid w:val="008630DD"/>
    <w:rsid w:val="00864707"/>
    <w:rsid w:val="00865709"/>
    <w:rsid w:val="00865904"/>
    <w:rsid w:val="00866345"/>
    <w:rsid w:val="00866357"/>
    <w:rsid w:val="008674CD"/>
    <w:rsid w:val="008702C4"/>
    <w:rsid w:val="0087052F"/>
    <w:rsid w:val="00871BFE"/>
    <w:rsid w:val="00871D83"/>
    <w:rsid w:val="00871E60"/>
    <w:rsid w:val="00871FBC"/>
    <w:rsid w:val="00872055"/>
    <w:rsid w:val="00873351"/>
    <w:rsid w:val="00873D4F"/>
    <w:rsid w:val="00874954"/>
    <w:rsid w:val="00874A1C"/>
    <w:rsid w:val="008765F2"/>
    <w:rsid w:val="00881690"/>
    <w:rsid w:val="00882832"/>
    <w:rsid w:val="00882AD4"/>
    <w:rsid w:val="00885074"/>
    <w:rsid w:val="00885A38"/>
    <w:rsid w:val="008906BC"/>
    <w:rsid w:val="00892540"/>
    <w:rsid w:val="008946BC"/>
    <w:rsid w:val="008954EA"/>
    <w:rsid w:val="008956B6"/>
    <w:rsid w:val="00896D16"/>
    <w:rsid w:val="00897555"/>
    <w:rsid w:val="008A0A04"/>
    <w:rsid w:val="008A0D88"/>
    <w:rsid w:val="008A1AC9"/>
    <w:rsid w:val="008A2C76"/>
    <w:rsid w:val="008A5A86"/>
    <w:rsid w:val="008A5CF9"/>
    <w:rsid w:val="008A60A2"/>
    <w:rsid w:val="008A7760"/>
    <w:rsid w:val="008A7B0B"/>
    <w:rsid w:val="008A7C1A"/>
    <w:rsid w:val="008B22E9"/>
    <w:rsid w:val="008B271D"/>
    <w:rsid w:val="008B29E0"/>
    <w:rsid w:val="008B3113"/>
    <w:rsid w:val="008B4AB7"/>
    <w:rsid w:val="008B4F31"/>
    <w:rsid w:val="008B542E"/>
    <w:rsid w:val="008B7224"/>
    <w:rsid w:val="008B7F92"/>
    <w:rsid w:val="008B7FBE"/>
    <w:rsid w:val="008C0E4E"/>
    <w:rsid w:val="008C1BB8"/>
    <w:rsid w:val="008C1D4F"/>
    <w:rsid w:val="008C23E5"/>
    <w:rsid w:val="008C2A47"/>
    <w:rsid w:val="008C3D88"/>
    <w:rsid w:val="008C4746"/>
    <w:rsid w:val="008C489B"/>
    <w:rsid w:val="008C4A0B"/>
    <w:rsid w:val="008C5335"/>
    <w:rsid w:val="008C55A7"/>
    <w:rsid w:val="008C66B5"/>
    <w:rsid w:val="008C6979"/>
    <w:rsid w:val="008D21EC"/>
    <w:rsid w:val="008D2648"/>
    <w:rsid w:val="008D29BC"/>
    <w:rsid w:val="008D4CAF"/>
    <w:rsid w:val="008D6B17"/>
    <w:rsid w:val="008D79B5"/>
    <w:rsid w:val="008D7D60"/>
    <w:rsid w:val="008E112F"/>
    <w:rsid w:val="008E1B1C"/>
    <w:rsid w:val="008E1FFF"/>
    <w:rsid w:val="008E2266"/>
    <w:rsid w:val="008E2346"/>
    <w:rsid w:val="008E2409"/>
    <w:rsid w:val="008E2772"/>
    <w:rsid w:val="008E2A0A"/>
    <w:rsid w:val="008E2DC2"/>
    <w:rsid w:val="008E3208"/>
    <w:rsid w:val="008E3AC6"/>
    <w:rsid w:val="008E58F1"/>
    <w:rsid w:val="008E6856"/>
    <w:rsid w:val="008F1002"/>
    <w:rsid w:val="008F2EA5"/>
    <w:rsid w:val="008F43B8"/>
    <w:rsid w:val="008F5262"/>
    <w:rsid w:val="008F5D83"/>
    <w:rsid w:val="008F631F"/>
    <w:rsid w:val="008F6849"/>
    <w:rsid w:val="008F7DBA"/>
    <w:rsid w:val="00900D9C"/>
    <w:rsid w:val="00902D51"/>
    <w:rsid w:val="00902F38"/>
    <w:rsid w:val="00903224"/>
    <w:rsid w:val="00904F34"/>
    <w:rsid w:val="00905082"/>
    <w:rsid w:val="00905BAE"/>
    <w:rsid w:val="00910A0E"/>
    <w:rsid w:val="009115E3"/>
    <w:rsid w:val="009126C7"/>
    <w:rsid w:val="00912815"/>
    <w:rsid w:val="00913AFA"/>
    <w:rsid w:val="00913B3B"/>
    <w:rsid w:val="009151F5"/>
    <w:rsid w:val="0091569C"/>
    <w:rsid w:val="009156E9"/>
    <w:rsid w:val="00915AEA"/>
    <w:rsid w:val="00916724"/>
    <w:rsid w:val="009205A6"/>
    <w:rsid w:val="00920886"/>
    <w:rsid w:val="00920B57"/>
    <w:rsid w:val="009217E7"/>
    <w:rsid w:val="00921C0E"/>
    <w:rsid w:val="00922E2A"/>
    <w:rsid w:val="0092413D"/>
    <w:rsid w:val="0092413E"/>
    <w:rsid w:val="00926F87"/>
    <w:rsid w:val="009272C8"/>
    <w:rsid w:val="00927B11"/>
    <w:rsid w:val="00927B44"/>
    <w:rsid w:val="00927EE1"/>
    <w:rsid w:val="0093064F"/>
    <w:rsid w:val="00931105"/>
    <w:rsid w:val="00931446"/>
    <w:rsid w:val="0093246D"/>
    <w:rsid w:val="00932A57"/>
    <w:rsid w:val="00933CBB"/>
    <w:rsid w:val="00933E19"/>
    <w:rsid w:val="0093469D"/>
    <w:rsid w:val="00935920"/>
    <w:rsid w:val="00935C3C"/>
    <w:rsid w:val="00935CDB"/>
    <w:rsid w:val="00935CE6"/>
    <w:rsid w:val="009362F1"/>
    <w:rsid w:val="00936600"/>
    <w:rsid w:val="00936734"/>
    <w:rsid w:val="00936A8D"/>
    <w:rsid w:val="00937C05"/>
    <w:rsid w:val="00941E67"/>
    <w:rsid w:val="009430CD"/>
    <w:rsid w:val="00943AE1"/>
    <w:rsid w:val="00943BF2"/>
    <w:rsid w:val="00943D0F"/>
    <w:rsid w:val="009443B5"/>
    <w:rsid w:val="009445A8"/>
    <w:rsid w:val="00944C86"/>
    <w:rsid w:val="00945A9E"/>
    <w:rsid w:val="00946173"/>
    <w:rsid w:val="00946180"/>
    <w:rsid w:val="009461E8"/>
    <w:rsid w:val="009510F6"/>
    <w:rsid w:val="00951EB0"/>
    <w:rsid w:val="00953596"/>
    <w:rsid w:val="00953D54"/>
    <w:rsid w:val="00954EED"/>
    <w:rsid w:val="00955956"/>
    <w:rsid w:val="00955A13"/>
    <w:rsid w:val="00955CDA"/>
    <w:rsid w:val="00956B32"/>
    <w:rsid w:val="00956FE5"/>
    <w:rsid w:val="009571B7"/>
    <w:rsid w:val="00957287"/>
    <w:rsid w:val="009576FB"/>
    <w:rsid w:val="009577D6"/>
    <w:rsid w:val="00961454"/>
    <w:rsid w:val="0096304F"/>
    <w:rsid w:val="009638D3"/>
    <w:rsid w:val="0096415E"/>
    <w:rsid w:val="00965A96"/>
    <w:rsid w:val="00965B19"/>
    <w:rsid w:val="00965F7C"/>
    <w:rsid w:val="00966289"/>
    <w:rsid w:val="0096673B"/>
    <w:rsid w:val="00967642"/>
    <w:rsid w:val="00970050"/>
    <w:rsid w:val="00970354"/>
    <w:rsid w:val="00970432"/>
    <w:rsid w:val="00971739"/>
    <w:rsid w:val="00972791"/>
    <w:rsid w:val="00973BE1"/>
    <w:rsid w:val="0097486E"/>
    <w:rsid w:val="00975D7B"/>
    <w:rsid w:val="0097640D"/>
    <w:rsid w:val="00977235"/>
    <w:rsid w:val="0097769A"/>
    <w:rsid w:val="009776C6"/>
    <w:rsid w:val="00977708"/>
    <w:rsid w:val="0097774E"/>
    <w:rsid w:val="00977821"/>
    <w:rsid w:val="00980E2C"/>
    <w:rsid w:val="0098220A"/>
    <w:rsid w:val="009851F2"/>
    <w:rsid w:val="0098550E"/>
    <w:rsid w:val="00986678"/>
    <w:rsid w:val="00986763"/>
    <w:rsid w:val="00987083"/>
    <w:rsid w:val="00987F6E"/>
    <w:rsid w:val="00993597"/>
    <w:rsid w:val="00996016"/>
    <w:rsid w:val="00996511"/>
    <w:rsid w:val="00996D8C"/>
    <w:rsid w:val="009977F1"/>
    <w:rsid w:val="009A01CF"/>
    <w:rsid w:val="009A1564"/>
    <w:rsid w:val="009A2FE9"/>
    <w:rsid w:val="009A363F"/>
    <w:rsid w:val="009A378E"/>
    <w:rsid w:val="009A3A02"/>
    <w:rsid w:val="009A464B"/>
    <w:rsid w:val="009A4B47"/>
    <w:rsid w:val="009A553E"/>
    <w:rsid w:val="009A5576"/>
    <w:rsid w:val="009A57A4"/>
    <w:rsid w:val="009A5F3E"/>
    <w:rsid w:val="009A66A8"/>
    <w:rsid w:val="009A72DD"/>
    <w:rsid w:val="009B1E40"/>
    <w:rsid w:val="009B2803"/>
    <w:rsid w:val="009B2E6F"/>
    <w:rsid w:val="009B2EB4"/>
    <w:rsid w:val="009B379A"/>
    <w:rsid w:val="009B47FA"/>
    <w:rsid w:val="009B4B25"/>
    <w:rsid w:val="009B5AE4"/>
    <w:rsid w:val="009B5B4D"/>
    <w:rsid w:val="009B5DAA"/>
    <w:rsid w:val="009B5DBC"/>
    <w:rsid w:val="009B6099"/>
    <w:rsid w:val="009B687A"/>
    <w:rsid w:val="009B6DF8"/>
    <w:rsid w:val="009B729A"/>
    <w:rsid w:val="009C1081"/>
    <w:rsid w:val="009C1524"/>
    <w:rsid w:val="009C1931"/>
    <w:rsid w:val="009C242B"/>
    <w:rsid w:val="009C2922"/>
    <w:rsid w:val="009C4921"/>
    <w:rsid w:val="009C49AD"/>
    <w:rsid w:val="009C5F0D"/>
    <w:rsid w:val="009C6143"/>
    <w:rsid w:val="009C6E27"/>
    <w:rsid w:val="009C7F23"/>
    <w:rsid w:val="009D035B"/>
    <w:rsid w:val="009D0CA1"/>
    <w:rsid w:val="009D1821"/>
    <w:rsid w:val="009D1A21"/>
    <w:rsid w:val="009D3A94"/>
    <w:rsid w:val="009D4BD8"/>
    <w:rsid w:val="009D5D78"/>
    <w:rsid w:val="009D779C"/>
    <w:rsid w:val="009E129C"/>
    <w:rsid w:val="009E1A75"/>
    <w:rsid w:val="009E31B6"/>
    <w:rsid w:val="009E370B"/>
    <w:rsid w:val="009E39C0"/>
    <w:rsid w:val="009E3B69"/>
    <w:rsid w:val="009E41A9"/>
    <w:rsid w:val="009E451D"/>
    <w:rsid w:val="009E478C"/>
    <w:rsid w:val="009E5985"/>
    <w:rsid w:val="009E7251"/>
    <w:rsid w:val="009E78EB"/>
    <w:rsid w:val="009E7F86"/>
    <w:rsid w:val="009F0203"/>
    <w:rsid w:val="009F09C0"/>
    <w:rsid w:val="009F148D"/>
    <w:rsid w:val="009F1CE4"/>
    <w:rsid w:val="009F1F29"/>
    <w:rsid w:val="009F22B2"/>
    <w:rsid w:val="009F23F8"/>
    <w:rsid w:val="009F274E"/>
    <w:rsid w:val="009F341D"/>
    <w:rsid w:val="009F3813"/>
    <w:rsid w:val="009F3C81"/>
    <w:rsid w:val="009F3C8E"/>
    <w:rsid w:val="009F3F06"/>
    <w:rsid w:val="009F3F40"/>
    <w:rsid w:val="009F45E6"/>
    <w:rsid w:val="009F4C7D"/>
    <w:rsid w:val="009F5487"/>
    <w:rsid w:val="009F6713"/>
    <w:rsid w:val="009F6A3F"/>
    <w:rsid w:val="00A002A8"/>
    <w:rsid w:val="00A00AFF"/>
    <w:rsid w:val="00A00F1D"/>
    <w:rsid w:val="00A021EA"/>
    <w:rsid w:val="00A034CC"/>
    <w:rsid w:val="00A055FA"/>
    <w:rsid w:val="00A06368"/>
    <w:rsid w:val="00A07CE8"/>
    <w:rsid w:val="00A105AD"/>
    <w:rsid w:val="00A10635"/>
    <w:rsid w:val="00A10DE1"/>
    <w:rsid w:val="00A11A74"/>
    <w:rsid w:val="00A1210F"/>
    <w:rsid w:val="00A13E3E"/>
    <w:rsid w:val="00A15897"/>
    <w:rsid w:val="00A15CAE"/>
    <w:rsid w:val="00A166E7"/>
    <w:rsid w:val="00A20500"/>
    <w:rsid w:val="00A221A0"/>
    <w:rsid w:val="00A2237F"/>
    <w:rsid w:val="00A22EC4"/>
    <w:rsid w:val="00A24429"/>
    <w:rsid w:val="00A254FC"/>
    <w:rsid w:val="00A25E2A"/>
    <w:rsid w:val="00A267BA"/>
    <w:rsid w:val="00A2752E"/>
    <w:rsid w:val="00A27ADF"/>
    <w:rsid w:val="00A3062D"/>
    <w:rsid w:val="00A3254A"/>
    <w:rsid w:val="00A32F6B"/>
    <w:rsid w:val="00A33194"/>
    <w:rsid w:val="00A33A60"/>
    <w:rsid w:val="00A33B78"/>
    <w:rsid w:val="00A33CE1"/>
    <w:rsid w:val="00A33E9F"/>
    <w:rsid w:val="00A3701E"/>
    <w:rsid w:val="00A3747D"/>
    <w:rsid w:val="00A37D1D"/>
    <w:rsid w:val="00A40EA9"/>
    <w:rsid w:val="00A41B7B"/>
    <w:rsid w:val="00A42200"/>
    <w:rsid w:val="00A42751"/>
    <w:rsid w:val="00A43095"/>
    <w:rsid w:val="00A43A22"/>
    <w:rsid w:val="00A448B1"/>
    <w:rsid w:val="00A44A95"/>
    <w:rsid w:val="00A45261"/>
    <w:rsid w:val="00A47CD6"/>
    <w:rsid w:val="00A50C39"/>
    <w:rsid w:val="00A52F75"/>
    <w:rsid w:val="00A53B9F"/>
    <w:rsid w:val="00A54B76"/>
    <w:rsid w:val="00A54EB9"/>
    <w:rsid w:val="00A5618B"/>
    <w:rsid w:val="00A5692B"/>
    <w:rsid w:val="00A61B79"/>
    <w:rsid w:val="00A62E58"/>
    <w:rsid w:val="00A64D8C"/>
    <w:rsid w:val="00A66369"/>
    <w:rsid w:val="00A66CD9"/>
    <w:rsid w:val="00A7032F"/>
    <w:rsid w:val="00A71503"/>
    <w:rsid w:val="00A71976"/>
    <w:rsid w:val="00A7265F"/>
    <w:rsid w:val="00A7438E"/>
    <w:rsid w:val="00A75C66"/>
    <w:rsid w:val="00A76645"/>
    <w:rsid w:val="00A7672F"/>
    <w:rsid w:val="00A76A04"/>
    <w:rsid w:val="00A77575"/>
    <w:rsid w:val="00A779BA"/>
    <w:rsid w:val="00A80E6E"/>
    <w:rsid w:val="00A8136B"/>
    <w:rsid w:val="00A81519"/>
    <w:rsid w:val="00A82104"/>
    <w:rsid w:val="00A828F3"/>
    <w:rsid w:val="00A82CA4"/>
    <w:rsid w:val="00A82CB8"/>
    <w:rsid w:val="00A84013"/>
    <w:rsid w:val="00A87189"/>
    <w:rsid w:val="00A9071A"/>
    <w:rsid w:val="00A910CC"/>
    <w:rsid w:val="00A9152C"/>
    <w:rsid w:val="00A91A9C"/>
    <w:rsid w:val="00A92C28"/>
    <w:rsid w:val="00A93CCE"/>
    <w:rsid w:val="00A95D43"/>
    <w:rsid w:val="00A96441"/>
    <w:rsid w:val="00A96FAE"/>
    <w:rsid w:val="00AA0E55"/>
    <w:rsid w:val="00AA1309"/>
    <w:rsid w:val="00AA14B5"/>
    <w:rsid w:val="00AA1859"/>
    <w:rsid w:val="00AA4BE2"/>
    <w:rsid w:val="00AA507E"/>
    <w:rsid w:val="00AA5BB1"/>
    <w:rsid w:val="00AB0D54"/>
    <w:rsid w:val="00AB29B1"/>
    <w:rsid w:val="00AB29E1"/>
    <w:rsid w:val="00AB2AC3"/>
    <w:rsid w:val="00AB2FD5"/>
    <w:rsid w:val="00AB388E"/>
    <w:rsid w:val="00AB3A78"/>
    <w:rsid w:val="00AB3B0C"/>
    <w:rsid w:val="00AB4909"/>
    <w:rsid w:val="00AB4FD0"/>
    <w:rsid w:val="00AB5B5E"/>
    <w:rsid w:val="00AB6039"/>
    <w:rsid w:val="00AB6097"/>
    <w:rsid w:val="00AB6B21"/>
    <w:rsid w:val="00AC004F"/>
    <w:rsid w:val="00AC0245"/>
    <w:rsid w:val="00AC0834"/>
    <w:rsid w:val="00AC1174"/>
    <w:rsid w:val="00AC28B7"/>
    <w:rsid w:val="00AC3CB6"/>
    <w:rsid w:val="00AC41BA"/>
    <w:rsid w:val="00AC5801"/>
    <w:rsid w:val="00AC6ADD"/>
    <w:rsid w:val="00AC6D2F"/>
    <w:rsid w:val="00AC7850"/>
    <w:rsid w:val="00AC7C55"/>
    <w:rsid w:val="00AD0941"/>
    <w:rsid w:val="00AD0DAA"/>
    <w:rsid w:val="00AD17EA"/>
    <w:rsid w:val="00AD1A09"/>
    <w:rsid w:val="00AD1CED"/>
    <w:rsid w:val="00AD2233"/>
    <w:rsid w:val="00AD3504"/>
    <w:rsid w:val="00AD36B9"/>
    <w:rsid w:val="00AD4D61"/>
    <w:rsid w:val="00AD4F34"/>
    <w:rsid w:val="00AD5F86"/>
    <w:rsid w:val="00AD6974"/>
    <w:rsid w:val="00AD6BC0"/>
    <w:rsid w:val="00AD74A2"/>
    <w:rsid w:val="00AE0B08"/>
    <w:rsid w:val="00AE1F65"/>
    <w:rsid w:val="00AE2C79"/>
    <w:rsid w:val="00AE3F61"/>
    <w:rsid w:val="00AE4887"/>
    <w:rsid w:val="00AE5717"/>
    <w:rsid w:val="00AE5EA8"/>
    <w:rsid w:val="00AE5FC0"/>
    <w:rsid w:val="00AF17BA"/>
    <w:rsid w:val="00AF1C43"/>
    <w:rsid w:val="00AF28CF"/>
    <w:rsid w:val="00AF2AD0"/>
    <w:rsid w:val="00AF2CA9"/>
    <w:rsid w:val="00AF2E13"/>
    <w:rsid w:val="00AF39DD"/>
    <w:rsid w:val="00AF5467"/>
    <w:rsid w:val="00AF631E"/>
    <w:rsid w:val="00AF6CA4"/>
    <w:rsid w:val="00AF6D7F"/>
    <w:rsid w:val="00AF6DA8"/>
    <w:rsid w:val="00AF7D30"/>
    <w:rsid w:val="00B014A9"/>
    <w:rsid w:val="00B01BD6"/>
    <w:rsid w:val="00B01C59"/>
    <w:rsid w:val="00B02553"/>
    <w:rsid w:val="00B032A5"/>
    <w:rsid w:val="00B04E4F"/>
    <w:rsid w:val="00B05866"/>
    <w:rsid w:val="00B06178"/>
    <w:rsid w:val="00B10204"/>
    <w:rsid w:val="00B11C40"/>
    <w:rsid w:val="00B12742"/>
    <w:rsid w:val="00B12BF0"/>
    <w:rsid w:val="00B138AF"/>
    <w:rsid w:val="00B13DA7"/>
    <w:rsid w:val="00B149E8"/>
    <w:rsid w:val="00B14EEE"/>
    <w:rsid w:val="00B16B6C"/>
    <w:rsid w:val="00B16C6E"/>
    <w:rsid w:val="00B16EA6"/>
    <w:rsid w:val="00B175EC"/>
    <w:rsid w:val="00B20143"/>
    <w:rsid w:val="00B20219"/>
    <w:rsid w:val="00B20C8D"/>
    <w:rsid w:val="00B21D2D"/>
    <w:rsid w:val="00B23626"/>
    <w:rsid w:val="00B23899"/>
    <w:rsid w:val="00B26AEC"/>
    <w:rsid w:val="00B271A6"/>
    <w:rsid w:val="00B31D43"/>
    <w:rsid w:val="00B31F8B"/>
    <w:rsid w:val="00B32808"/>
    <w:rsid w:val="00B33929"/>
    <w:rsid w:val="00B34287"/>
    <w:rsid w:val="00B343FA"/>
    <w:rsid w:val="00B3456F"/>
    <w:rsid w:val="00B361E8"/>
    <w:rsid w:val="00B379D4"/>
    <w:rsid w:val="00B37BEB"/>
    <w:rsid w:val="00B40781"/>
    <w:rsid w:val="00B423A2"/>
    <w:rsid w:val="00B42AB8"/>
    <w:rsid w:val="00B42F07"/>
    <w:rsid w:val="00B43438"/>
    <w:rsid w:val="00B4439E"/>
    <w:rsid w:val="00B4455F"/>
    <w:rsid w:val="00B44873"/>
    <w:rsid w:val="00B44A1E"/>
    <w:rsid w:val="00B504E8"/>
    <w:rsid w:val="00B50BDA"/>
    <w:rsid w:val="00B51B9A"/>
    <w:rsid w:val="00B52384"/>
    <w:rsid w:val="00B5273A"/>
    <w:rsid w:val="00B52818"/>
    <w:rsid w:val="00B52D91"/>
    <w:rsid w:val="00B55916"/>
    <w:rsid w:val="00B61578"/>
    <w:rsid w:val="00B61752"/>
    <w:rsid w:val="00B6185B"/>
    <w:rsid w:val="00B623CF"/>
    <w:rsid w:val="00B6273E"/>
    <w:rsid w:val="00B64EF8"/>
    <w:rsid w:val="00B6548C"/>
    <w:rsid w:val="00B658EB"/>
    <w:rsid w:val="00B66A01"/>
    <w:rsid w:val="00B66EF9"/>
    <w:rsid w:val="00B66FD4"/>
    <w:rsid w:val="00B67E61"/>
    <w:rsid w:val="00B67E69"/>
    <w:rsid w:val="00B706E4"/>
    <w:rsid w:val="00B70739"/>
    <w:rsid w:val="00B708C5"/>
    <w:rsid w:val="00B70AA6"/>
    <w:rsid w:val="00B71577"/>
    <w:rsid w:val="00B721FC"/>
    <w:rsid w:val="00B73B8B"/>
    <w:rsid w:val="00B73F47"/>
    <w:rsid w:val="00B7470B"/>
    <w:rsid w:val="00B752A9"/>
    <w:rsid w:val="00B75DE9"/>
    <w:rsid w:val="00B7630F"/>
    <w:rsid w:val="00B76C42"/>
    <w:rsid w:val="00B81149"/>
    <w:rsid w:val="00B81DC5"/>
    <w:rsid w:val="00B8234C"/>
    <w:rsid w:val="00B8451C"/>
    <w:rsid w:val="00B845D7"/>
    <w:rsid w:val="00B85464"/>
    <w:rsid w:val="00B86621"/>
    <w:rsid w:val="00B86F63"/>
    <w:rsid w:val="00B90678"/>
    <w:rsid w:val="00B911B3"/>
    <w:rsid w:val="00B92D5B"/>
    <w:rsid w:val="00B9389C"/>
    <w:rsid w:val="00B94D08"/>
    <w:rsid w:val="00B95877"/>
    <w:rsid w:val="00B95DBB"/>
    <w:rsid w:val="00B966FF"/>
    <w:rsid w:val="00B96D04"/>
    <w:rsid w:val="00B9714B"/>
    <w:rsid w:val="00B97896"/>
    <w:rsid w:val="00BA0762"/>
    <w:rsid w:val="00BA1B2C"/>
    <w:rsid w:val="00BA1F75"/>
    <w:rsid w:val="00BA231E"/>
    <w:rsid w:val="00BA2520"/>
    <w:rsid w:val="00BA318E"/>
    <w:rsid w:val="00BA45C4"/>
    <w:rsid w:val="00BA47BD"/>
    <w:rsid w:val="00BA5565"/>
    <w:rsid w:val="00BA6799"/>
    <w:rsid w:val="00BA74FB"/>
    <w:rsid w:val="00BA78EA"/>
    <w:rsid w:val="00BB0D64"/>
    <w:rsid w:val="00BB0F8F"/>
    <w:rsid w:val="00BB2A50"/>
    <w:rsid w:val="00BB2D34"/>
    <w:rsid w:val="00BB3AE7"/>
    <w:rsid w:val="00BB4847"/>
    <w:rsid w:val="00BB4AA8"/>
    <w:rsid w:val="00BB4C47"/>
    <w:rsid w:val="00BB4F79"/>
    <w:rsid w:val="00BB62CE"/>
    <w:rsid w:val="00BB7027"/>
    <w:rsid w:val="00BB7EC0"/>
    <w:rsid w:val="00BC0360"/>
    <w:rsid w:val="00BC0435"/>
    <w:rsid w:val="00BC0CF1"/>
    <w:rsid w:val="00BC13B4"/>
    <w:rsid w:val="00BC15C6"/>
    <w:rsid w:val="00BC1AF6"/>
    <w:rsid w:val="00BC2F30"/>
    <w:rsid w:val="00BC5551"/>
    <w:rsid w:val="00BC5B2B"/>
    <w:rsid w:val="00BC5BBA"/>
    <w:rsid w:val="00BC6F8C"/>
    <w:rsid w:val="00BC711F"/>
    <w:rsid w:val="00BC7CEC"/>
    <w:rsid w:val="00BD11AD"/>
    <w:rsid w:val="00BD11EC"/>
    <w:rsid w:val="00BD20AC"/>
    <w:rsid w:val="00BD2286"/>
    <w:rsid w:val="00BD2A1B"/>
    <w:rsid w:val="00BD2B4D"/>
    <w:rsid w:val="00BD44C0"/>
    <w:rsid w:val="00BD6FCE"/>
    <w:rsid w:val="00BD7A0A"/>
    <w:rsid w:val="00BD7E3B"/>
    <w:rsid w:val="00BE0DBC"/>
    <w:rsid w:val="00BE156F"/>
    <w:rsid w:val="00BE23AE"/>
    <w:rsid w:val="00BE3AFF"/>
    <w:rsid w:val="00BE55F0"/>
    <w:rsid w:val="00BE5EF6"/>
    <w:rsid w:val="00BE663C"/>
    <w:rsid w:val="00BF0162"/>
    <w:rsid w:val="00BF0A45"/>
    <w:rsid w:val="00BF20EC"/>
    <w:rsid w:val="00BF337F"/>
    <w:rsid w:val="00BF5837"/>
    <w:rsid w:val="00BF613F"/>
    <w:rsid w:val="00BF6691"/>
    <w:rsid w:val="00BF7565"/>
    <w:rsid w:val="00C00043"/>
    <w:rsid w:val="00C0189F"/>
    <w:rsid w:val="00C02360"/>
    <w:rsid w:val="00C02863"/>
    <w:rsid w:val="00C03622"/>
    <w:rsid w:val="00C03CE3"/>
    <w:rsid w:val="00C03D55"/>
    <w:rsid w:val="00C043BF"/>
    <w:rsid w:val="00C04682"/>
    <w:rsid w:val="00C04CC1"/>
    <w:rsid w:val="00C10383"/>
    <w:rsid w:val="00C11411"/>
    <w:rsid w:val="00C1149D"/>
    <w:rsid w:val="00C1157D"/>
    <w:rsid w:val="00C11813"/>
    <w:rsid w:val="00C12822"/>
    <w:rsid w:val="00C12BB3"/>
    <w:rsid w:val="00C13D4C"/>
    <w:rsid w:val="00C13F3D"/>
    <w:rsid w:val="00C142C7"/>
    <w:rsid w:val="00C1745C"/>
    <w:rsid w:val="00C2016D"/>
    <w:rsid w:val="00C20439"/>
    <w:rsid w:val="00C20D55"/>
    <w:rsid w:val="00C21B3E"/>
    <w:rsid w:val="00C23BA3"/>
    <w:rsid w:val="00C2422B"/>
    <w:rsid w:val="00C248D8"/>
    <w:rsid w:val="00C24C6B"/>
    <w:rsid w:val="00C25533"/>
    <w:rsid w:val="00C27415"/>
    <w:rsid w:val="00C30D2E"/>
    <w:rsid w:val="00C33283"/>
    <w:rsid w:val="00C3390A"/>
    <w:rsid w:val="00C33FA5"/>
    <w:rsid w:val="00C34F83"/>
    <w:rsid w:val="00C35711"/>
    <w:rsid w:val="00C3575E"/>
    <w:rsid w:val="00C3588D"/>
    <w:rsid w:val="00C35B5E"/>
    <w:rsid w:val="00C36D88"/>
    <w:rsid w:val="00C375A1"/>
    <w:rsid w:val="00C41E7F"/>
    <w:rsid w:val="00C4244F"/>
    <w:rsid w:val="00C42D8A"/>
    <w:rsid w:val="00C42DE0"/>
    <w:rsid w:val="00C42E20"/>
    <w:rsid w:val="00C43399"/>
    <w:rsid w:val="00C452F2"/>
    <w:rsid w:val="00C452FC"/>
    <w:rsid w:val="00C45A8D"/>
    <w:rsid w:val="00C47DC2"/>
    <w:rsid w:val="00C50058"/>
    <w:rsid w:val="00C51699"/>
    <w:rsid w:val="00C519C5"/>
    <w:rsid w:val="00C51AE6"/>
    <w:rsid w:val="00C51DFC"/>
    <w:rsid w:val="00C52917"/>
    <w:rsid w:val="00C562F9"/>
    <w:rsid w:val="00C56BEC"/>
    <w:rsid w:val="00C57CAE"/>
    <w:rsid w:val="00C605B7"/>
    <w:rsid w:val="00C614EF"/>
    <w:rsid w:val="00C617EC"/>
    <w:rsid w:val="00C61CA9"/>
    <w:rsid w:val="00C62488"/>
    <w:rsid w:val="00C6357C"/>
    <w:rsid w:val="00C6414B"/>
    <w:rsid w:val="00C649B5"/>
    <w:rsid w:val="00C649D4"/>
    <w:rsid w:val="00C64D08"/>
    <w:rsid w:val="00C64FD9"/>
    <w:rsid w:val="00C67085"/>
    <w:rsid w:val="00C676A3"/>
    <w:rsid w:val="00C70733"/>
    <w:rsid w:val="00C70CC5"/>
    <w:rsid w:val="00C7221F"/>
    <w:rsid w:val="00C72634"/>
    <w:rsid w:val="00C73638"/>
    <w:rsid w:val="00C73E33"/>
    <w:rsid w:val="00C746E8"/>
    <w:rsid w:val="00C7580D"/>
    <w:rsid w:val="00C762C4"/>
    <w:rsid w:val="00C76B39"/>
    <w:rsid w:val="00C7727F"/>
    <w:rsid w:val="00C77CDA"/>
    <w:rsid w:val="00C80412"/>
    <w:rsid w:val="00C80EEB"/>
    <w:rsid w:val="00C81A12"/>
    <w:rsid w:val="00C81BE8"/>
    <w:rsid w:val="00C83710"/>
    <w:rsid w:val="00C84280"/>
    <w:rsid w:val="00C85029"/>
    <w:rsid w:val="00C85FBD"/>
    <w:rsid w:val="00C86D89"/>
    <w:rsid w:val="00C86FBA"/>
    <w:rsid w:val="00C902FF"/>
    <w:rsid w:val="00C90846"/>
    <w:rsid w:val="00C91D81"/>
    <w:rsid w:val="00C92F8C"/>
    <w:rsid w:val="00C941CB"/>
    <w:rsid w:val="00C956AA"/>
    <w:rsid w:val="00CA13D1"/>
    <w:rsid w:val="00CA36D4"/>
    <w:rsid w:val="00CA498C"/>
    <w:rsid w:val="00CA6796"/>
    <w:rsid w:val="00CB00D0"/>
    <w:rsid w:val="00CB1CFD"/>
    <w:rsid w:val="00CB271C"/>
    <w:rsid w:val="00CB3CB9"/>
    <w:rsid w:val="00CB54EC"/>
    <w:rsid w:val="00CB5593"/>
    <w:rsid w:val="00CB5878"/>
    <w:rsid w:val="00CB5BE4"/>
    <w:rsid w:val="00CB5DF7"/>
    <w:rsid w:val="00CB65A8"/>
    <w:rsid w:val="00CB6D34"/>
    <w:rsid w:val="00CB7DC8"/>
    <w:rsid w:val="00CC1B1A"/>
    <w:rsid w:val="00CC1DC1"/>
    <w:rsid w:val="00CC24EC"/>
    <w:rsid w:val="00CC2F1B"/>
    <w:rsid w:val="00CC47D4"/>
    <w:rsid w:val="00CC4997"/>
    <w:rsid w:val="00CC5959"/>
    <w:rsid w:val="00CD0162"/>
    <w:rsid w:val="00CD117A"/>
    <w:rsid w:val="00CD20CE"/>
    <w:rsid w:val="00CD2B11"/>
    <w:rsid w:val="00CD2C52"/>
    <w:rsid w:val="00CD2E70"/>
    <w:rsid w:val="00CD307A"/>
    <w:rsid w:val="00CD324E"/>
    <w:rsid w:val="00CD46CE"/>
    <w:rsid w:val="00CD6304"/>
    <w:rsid w:val="00CD6724"/>
    <w:rsid w:val="00CD6B1C"/>
    <w:rsid w:val="00CD750F"/>
    <w:rsid w:val="00CE0F39"/>
    <w:rsid w:val="00CE2B84"/>
    <w:rsid w:val="00CE4B1D"/>
    <w:rsid w:val="00CE4EA2"/>
    <w:rsid w:val="00CF0176"/>
    <w:rsid w:val="00CF0549"/>
    <w:rsid w:val="00CF0FBE"/>
    <w:rsid w:val="00CF1F28"/>
    <w:rsid w:val="00CF20E2"/>
    <w:rsid w:val="00CF29DF"/>
    <w:rsid w:val="00CF2B36"/>
    <w:rsid w:val="00CF2DDF"/>
    <w:rsid w:val="00CF2E6C"/>
    <w:rsid w:val="00CF3C46"/>
    <w:rsid w:val="00CF429E"/>
    <w:rsid w:val="00CF4340"/>
    <w:rsid w:val="00CF4A9E"/>
    <w:rsid w:val="00CF5F68"/>
    <w:rsid w:val="00CF6AFC"/>
    <w:rsid w:val="00CF740C"/>
    <w:rsid w:val="00D00509"/>
    <w:rsid w:val="00D00A7B"/>
    <w:rsid w:val="00D021B5"/>
    <w:rsid w:val="00D02771"/>
    <w:rsid w:val="00D040CF"/>
    <w:rsid w:val="00D0527C"/>
    <w:rsid w:val="00D06F7E"/>
    <w:rsid w:val="00D074A6"/>
    <w:rsid w:val="00D10365"/>
    <w:rsid w:val="00D109D6"/>
    <w:rsid w:val="00D13A2C"/>
    <w:rsid w:val="00D1423D"/>
    <w:rsid w:val="00D14D89"/>
    <w:rsid w:val="00D15657"/>
    <w:rsid w:val="00D1565F"/>
    <w:rsid w:val="00D17177"/>
    <w:rsid w:val="00D224F3"/>
    <w:rsid w:val="00D2275D"/>
    <w:rsid w:val="00D23177"/>
    <w:rsid w:val="00D238C5"/>
    <w:rsid w:val="00D242B4"/>
    <w:rsid w:val="00D26428"/>
    <w:rsid w:val="00D26AF6"/>
    <w:rsid w:val="00D27EB2"/>
    <w:rsid w:val="00D27EDB"/>
    <w:rsid w:val="00D30FD5"/>
    <w:rsid w:val="00D31783"/>
    <w:rsid w:val="00D31BA2"/>
    <w:rsid w:val="00D32026"/>
    <w:rsid w:val="00D33154"/>
    <w:rsid w:val="00D33B47"/>
    <w:rsid w:val="00D342C7"/>
    <w:rsid w:val="00D35003"/>
    <w:rsid w:val="00D35905"/>
    <w:rsid w:val="00D35A1B"/>
    <w:rsid w:val="00D36054"/>
    <w:rsid w:val="00D36EA3"/>
    <w:rsid w:val="00D400F1"/>
    <w:rsid w:val="00D404B2"/>
    <w:rsid w:val="00D4314D"/>
    <w:rsid w:val="00D43FF4"/>
    <w:rsid w:val="00D45488"/>
    <w:rsid w:val="00D45804"/>
    <w:rsid w:val="00D458B7"/>
    <w:rsid w:val="00D45F57"/>
    <w:rsid w:val="00D46A28"/>
    <w:rsid w:val="00D46C1F"/>
    <w:rsid w:val="00D46C90"/>
    <w:rsid w:val="00D47E8C"/>
    <w:rsid w:val="00D50204"/>
    <w:rsid w:val="00D51809"/>
    <w:rsid w:val="00D51D3D"/>
    <w:rsid w:val="00D55F11"/>
    <w:rsid w:val="00D57F0F"/>
    <w:rsid w:val="00D6094B"/>
    <w:rsid w:val="00D60A5F"/>
    <w:rsid w:val="00D612F7"/>
    <w:rsid w:val="00D613BC"/>
    <w:rsid w:val="00D61AFD"/>
    <w:rsid w:val="00D61BD1"/>
    <w:rsid w:val="00D62F00"/>
    <w:rsid w:val="00D64371"/>
    <w:rsid w:val="00D64708"/>
    <w:rsid w:val="00D67089"/>
    <w:rsid w:val="00D67694"/>
    <w:rsid w:val="00D678D0"/>
    <w:rsid w:val="00D70E3F"/>
    <w:rsid w:val="00D71F3F"/>
    <w:rsid w:val="00D728EE"/>
    <w:rsid w:val="00D7428E"/>
    <w:rsid w:val="00D748EF"/>
    <w:rsid w:val="00D74AD7"/>
    <w:rsid w:val="00D7520F"/>
    <w:rsid w:val="00D7613F"/>
    <w:rsid w:val="00D772C9"/>
    <w:rsid w:val="00D7767D"/>
    <w:rsid w:val="00D80828"/>
    <w:rsid w:val="00D8350F"/>
    <w:rsid w:val="00D8363D"/>
    <w:rsid w:val="00D8587C"/>
    <w:rsid w:val="00D90096"/>
    <w:rsid w:val="00D90355"/>
    <w:rsid w:val="00D9043A"/>
    <w:rsid w:val="00D91196"/>
    <w:rsid w:val="00D918A8"/>
    <w:rsid w:val="00D91BA2"/>
    <w:rsid w:val="00D9300A"/>
    <w:rsid w:val="00D93943"/>
    <w:rsid w:val="00D93E44"/>
    <w:rsid w:val="00D946CE"/>
    <w:rsid w:val="00D948A0"/>
    <w:rsid w:val="00D94E0D"/>
    <w:rsid w:val="00D95A9B"/>
    <w:rsid w:val="00D96937"/>
    <w:rsid w:val="00D96C26"/>
    <w:rsid w:val="00D972E8"/>
    <w:rsid w:val="00D97A7D"/>
    <w:rsid w:val="00DA0893"/>
    <w:rsid w:val="00DA0910"/>
    <w:rsid w:val="00DA2B0B"/>
    <w:rsid w:val="00DA35CE"/>
    <w:rsid w:val="00DA45AA"/>
    <w:rsid w:val="00DA48B5"/>
    <w:rsid w:val="00DA56A2"/>
    <w:rsid w:val="00DA56EE"/>
    <w:rsid w:val="00DA5DB2"/>
    <w:rsid w:val="00DA78A7"/>
    <w:rsid w:val="00DB047B"/>
    <w:rsid w:val="00DB2A36"/>
    <w:rsid w:val="00DB32B3"/>
    <w:rsid w:val="00DB449A"/>
    <w:rsid w:val="00DB58F2"/>
    <w:rsid w:val="00DB72A5"/>
    <w:rsid w:val="00DB79E9"/>
    <w:rsid w:val="00DB7C12"/>
    <w:rsid w:val="00DC01E5"/>
    <w:rsid w:val="00DC0D02"/>
    <w:rsid w:val="00DC1BCA"/>
    <w:rsid w:val="00DC3C02"/>
    <w:rsid w:val="00DC4D27"/>
    <w:rsid w:val="00DC4D7A"/>
    <w:rsid w:val="00DC5EBA"/>
    <w:rsid w:val="00DC7423"/>
    <w:rsid w:val="00DD1046"/>
    <w:rsid w:val="00DD1A1E"/>
    <w:rsid w:val="00DD2350"/>
    <w:rsid w:val="00DD3DEF"/>
    <w:rsid w:val="00DD3F39"/>
    <w:rsid w:val="00DD4A57"/>
    <w:rsid w:val="00DD4C9C"/>
    <w:rsid w:val="00DD6268"/>
    <w:rsid w:val="00DD6E56"/>
    <w:rsid w:val="00DD73C8"/>
    <w:rsid w:val="00DD7826"/>
    <w:rsid w:val="00DE0263"/>
    <w:rsid w:val="00DE0995"/>
    <w:rsid w:val="00DE27B0"/>
    <w:rsid w:val="00DE41A1"/>
    <w:rsid w:val="00DE5517"/>
    <w:rsid w:val="00DE5719"/>
    <w:rsid w:val="00DE58A2"/>
    <w:rsid w:val="00DE60BE"/>
    <w:rsid w:val="00DE62E8"/>
    <w:rsid w:val="00DE712F"/>
    <w:rsid w:val="00DF0DEF"/>
    <w:rsid w:val="00DF1479"/>
    <w:rsid w:val="00DF2345"/>
    <w:rsid w:val="00DF30F1"/>
    <w:rsid w:val="00DF32C6"/>
    <w:rsid w:val="00DF4B4D"/>
    <w:rsid w:val="00DF6790"/>
    <w:rsid w:val="00DF7479"/>
    <w:rsid w:val="00E01719"/>
    <w:rsid w:val="00E02CF3"/>
    <w:rsid w:val="00E04D36"/>
    <w:rsid w:val="00E04F60"/>
    <w:rsid w:val="00E05FF2"/>
    <w:rsid w:val="00E06313"/>
    <w:rsid w:val="00E06C7B"/>
    <w:rsid w:val="00E07C1A"/>
    <w:rsid w:val="00E1104E"/>
    <w:rsid w:val="00E12A21"/>
    <w:rsid w:val="00E12F9C"/>
    <w:rsid w:val="00E14116"/>
    <w:rsid w:val="00E14AAD"/>
    <w:rsid w:val="00E15C20"/>
    <w:rsid w:val="00E16812"/>
    <w:rsid w:val="00E2011F"/>
    <w:rsid w:val="00E20301"/>
    <w:rsid w:val="00E21676"/>
    <w:rsid w:val="00E228ED"/>
    <w:rsid w:val="00E23591"/>
    <w:rsid w:val="00E23A4E"/>
    <w:rsid w:val="00E25AAE"/>
    <w:rsid w:val="00E266CD"/>
    <w:rsid w:val="00E3052F"/>
    <w:rsid w:val="00E334F3"/>
    <w:rsid w:val="00E34512"/>
    <w:rsid w:val="00E34B72"/>
    <w:rsid w:val="00E35809"/>
    <w:rsid w:val="00E36869"/>
    <w:rsid w:val="00E3714F"/>
    <w:rsid w:val="00E37F98"/>
    <w:rsid w:val="00E4270D"/>
    <w:rsid w:val="00E4273F"/>
    <w:rsid w:val="00E43CA9"/>
    <w:rsid w:val="00E43EEE"/>
    <w:rsid w:val="00E44481"/>
    <w:rsid w:val="00E4529F"/>
    <w:rsid w:val="00E46EC5"/>
    <w:rsid w:val="00E50921"/>
    <w:rsid w:val="00E50AA3"/>
    <w:rsid w:val="00E53615"/>
    <w:rsid w:val="00E560D4"/>
    <w:rsid w:val="00E56EAD"/>
    <w:rsid w:val="00E579A7"/>
    <w:rsid w:val="00E579BB"/>
    <w:rsid w:val="00E57F9E"/>
    <w:rsid w:val="00E600A2"/>
    <w:rsid w:val="00E61508"/>
    <w:rsid w:val="00E62A52"/>
    <w:rsid w:val="00E63537"/>
    <w:rsid w:val="00E63C11"/>
    <w:rsid w:val="00E64052"/>
    <w:rsid w:val="00E64552"/>
    <w:rsid w:val="00E64AC7"/>
    <w:rsid w:val="00E652BD"/>
    <w:rsid w:val="00E66A8D"/>
    <w:rsid w:val="00E66D6E"/>
    <w:rsid w:val="00E726A9"/>
    <w:rsid w:val="00E72D3E"/>
    <w:rsid w:val="00E73383"/>
    <w:rsid w:val="00E73D69"/>
    <w:rsid w:val="00E74659"/>
    <w:rsid w:val="00E75FD6"/>
    <w:rsid w:val="00E767FD"/>
    <w:rsid w:val="00E7697C"/>
    <w:rsid w:val="00E7768B"/>
    <w:rsid w:val="00E801B0"/>
    <w:rsid w:val="00E80241"/>
    <w:rsid w:val="00E80EA9"/>
    <w:rsid w:val="00E812D2"/>
    <w:rsid w:val="00E8169C"/>
    <w:rsid w:val="00E81E57"/>
    <w:rsid w:val="00E82905"/>
    <w:rsid w:val="00E836C3"/>
    <w:rsid w:val="00E841A3"/>
    <w:rsid w:val="00E843E8"/>
    <w:rsid w:val="00E84AB0"/>
    <w:rsid w:val="00E84EA0"/>
    <w:rsid w:val="00E868F0"/>
    <w:rsid w:val="00E86B51"/>
    <w:rsid w:val="00E87180"/>
    <w:rsid w:val="00E873E5"/>
    <w:rsid w:val="00E87DB9"/>
    <w:rsid w:val="00E87EE3"/>
    <w:rsid w:val="00E93E21"/>
    <w:rsid w:val="00E93E92"/>
    <w:rsid w:val="00E94031"/>
    <w:rsid w:val="00E953E3"/>
    <w:rsid w:val="00E957FF"/>
    <w:rsid w:val="00E9637E"/>
    <w:rsid w:val="00E96A13"/>
    <w:rsid w:val="00E978F3"/>
    <w:rsid w:val="00E97BFC"/>
    <w:rsid w:val="00EA00EB"/>
    <w:rsid w:val="00EA4FAC"/>
    <w:rsid w:val="00EA508D"/>
    <w:rsid w:val="00EA511A"/>
    <w:rsid w:val="00EA62B0"/>
    <w:rsid w:val="00EA72E0"/>
    <w:rsid w:val="00EA7CD3"/>
    <w:rsid w:val="00EB0F01"/>
    <w:rsid w:val="00EB1C63"/>
    <w:rsid w:val="00EB20D8"/>
    <w:rsid w:val="00EB2E20"/>
    <w:rsid w:val="00EB2F7D"/>
    <w:rsid w:val="00EB38CD"/>
    <w:rsid w:val="00EB43FB"/>
    <w:rsid w:val="00EB480C"/>
    <w:rsid w:val="00EB4969"/>
    <w:rsid w:val="00EB633F"/>
    <w:rsid w:val="00EB6768"/>
    <w:rsid w:val="00EB79AF"/>
    <w:rsid w:val="00EB7C1A"/>
    <w:rsid w:val="00EC1D31"/>
    <w:rsid w:val="00EC3086"/>
    <w:rsid w:val="00EC3A0A"/>
    <w:rsid w:val="00EC46F2"/>
    <w:rsid w:val="00EC4AF7"/>
    <w:rsid w:val="00EC4DEC"/>
    <w:rsid w:val="00EC4EE2"/>
    <w:rsid w:val="00EC5CB7"/>
    <w:rsid w:val="00EC7B9E"/>
    <w:rsid w:val="00ED10C0"/>
    <w:rsid w:val="00ED10FC"/>
    <w:rsid w:val="00ED240A"/>
    <w:rsid w:val="00ED4686"/>
    <w:rsid w:val="00ED4BC8"/>
    <w:rsid w:val="00ED536F"/>
    <w:rsid w:val="00ED5795"/>
    <w:rsid w:val="00ED5BA0"/>
    <w:rsid w:val="00ED5DA0"/>
    <w:rsid w:val="00EE0873"/>
    <w:rsid w:val="00EE10C5"/>
    <w:rsid w:val="00EE19C1"/>
    <w:rsid w:val="00EE2367"/>
    <w:rsid w:val="00EE33E8"/>
    <w:rsid w:val="00EE3F83"/>
    <w:rsid w:val="00EE4536"/>
    <w:rsid w:val="00EE4906"/>
    <w:rsid w:val="00EE5A81"/>
    <w:rsid w:val="00EE6A9B"/>
    <w:rsid w:val="00EE6D77"/>
    <w:rsid w:val="00EE7E0D"/>
    <w:rsid w:val="00EE7E2E"/>
    <w:rsid w:val="00EF0844"/>
    <w:rsid w:val="00EF0BB1"/>
    <w:rsid w:val="00EF1023"/>
    <w:rsid w:val="00EF1658"/>
    <w:rsid w:val="00EF23BF"/>
    <w:rsid w:val="00EF28F9"/>
    <w:rsid w:val="00EF41A0"/>
    <w:rsid w:val="00EF472A"/>
    <w:rsid w:val="00EF619E"/>
    <w:rsid w:val="00EF6723"/>
    <w:rsid w:val="00EF6C2D"/>
    <w:rsid w:val="00F00516"/>
    <w:rsid w:val="00F01557"/>
    <w:rsid w:val="00F01D53"/>
    <w:rsid w:val="00F021E6"/>
    <w:rsid w:val="00F02CBA"/>
    <w:rsid w:val="00F03DC8"/>
    <w:rsid w:val="00F043B9"/>
    <w:rsid w:val="00F07D4D"/>
    <w:rsid w:val="00F104AE"/>
    <w:rsid w:val="00F1166B"/>
    <w:rsid w:val="00F11B97"/>
    <w:rsid w:val="00F11ED0"/>
    <w:rsid w:val="00F1201C"/>
    <w:rsid w:val="00F1246A"/>
    <w:rsid w:val="00F124E6"/>
    <w:rsid w:val="00F12720"/>
    <w:rsid w:val="00F15546"/>
    <w:rsid w:val="00F17122"/>
    <w:rsid w:val="00F171A5"/>
    <w:rsid w:val="00F20BA1"/>
    <w:rsid w:val="00F21071"/>
    <w:rsid w:val="00F21285"/>
    <w:rsid w:val="00F2164B"/>
    <w:rsid w:val="00F23883"/>
    <w:rsid w:val="00F24208"/>
    <w:rsid w:val="00F2470A"/>
    <w:rsid w:val="00F2532E"/>
    <w:rsid w:val="00F2560E"/>
    <w:rsid w:val="00F258F5"/>
    <w:rsid w:val="00F25A01"/>
    <w:rsid w:val="00F25C5A"/>
    <w:rsid w:val="00F26BAD"/>
    <w:rsid w:val="00F2774C"/>
    <w:rsid w:val="00F27F56"/>
    <w:rsid w:val="00F30989"/>
    <w:rsid w:val="00F31158"/>
    <w:rsid w:val="00F3295F"/>
    <w:rsid w:val="00F32DB4"/>
    <w:rsid w:val="00F349A8"/>
    <w:rsid w:val="00F35B48"/>
    <w:rsid w:val="00F3680A"/>
    <w:rsid w:val="00F37B99"/>
    <w:rsid w:val="00F402AA"/>
    <w:rsid w:val="00F40EB9"/>
    <w:rsid w:val="00F41A0B"/>
    <w:rsid w:val="00F42DA3"/>
    <w:rsid w:val="00F44F55"/>
    <w:rsid w:val="00F45B67"/>
    <w:rsid w:val="00F4659C"/>
    <w:rsid w:val="00F46ED2"/>
    <w:rsid w:val="00F47330"/>
    <w:rsid w:val="00F47566"/>
    <w:rsid w:val="00F47B19"/>
    <w:rsid w:val="00F47DD3"/>
    <w:rsid w:val="00F47F09"/>
    <w:rsid w:val="00F5007A"/>
    <w:rsid w:val="00F50A18"/>
    <w:rsid w:val="00F533C5"/>
    <w:rsid w:val="00F54A51"/>
    <w:rsid w:val="00F54AC0"/>
    <w:rsid w:val="00F54F26"/>
    <w:rsid w:val="00F54F66"/>
    <w:rsid w:val="00F570D2"/>
    <w:rsid w:val="00F600AC"/>
    <w:rsid w:val="00F60AC1"/>
    <w:rsid w:val="00F6192C"/>
    <w:rsid w:val="00F61D09"/>
    <w:rsid w:val="00F61FBE"/>
    <w:rsid w:val="00F621AA"/>
    <w:rsid w:val="00F62582"/>
    <w:rsid w:val="00F631B6"/>
    <w:rsid w:val="00F6351A"/>
    <w:rsid w:val="00F651D5"/>
    <w:rsid w:val="00F65487"/>
    <w:rsid w:val="00F65902"/>
    <w:rsid w:val="00F65ABA"/>
    <w:rsid w:val="00F65CE5"/>
    <w:rsid w:val="00F67E54"/>
    <w:rsid w:val="00F712AF"/>
    <w:rsid w:val="00F7165C"/>
    <w:rsid w:val="00F71B14"/>
    <w:rsid w:val="00F72F7E"/>
    <w:rsid w:val="00F7359D"/>
    <w:rsid w:val="00F73A16"/>
    <w:rsid w:val="00F740E6"/>
    <w:rsid w:val="00F74464"/>
    <w:rsid w:val="00F7459F"/>
    <w:rsid w:val="00F74635"/>
    <w:rsid w:val="00F75283"/>
    <w:rsid w:val="00F7574A"/>
    <w:rsid w:val="00F75D53"/>
    <w:rsid w:val="00F762F4"/>
    <w:rsid w:val="00F7657B"/>
    <w:rsid w:val="00F76EB7"/>
    <w:rsid w:val="00F773AB"/>
    <w:rsid w:val="00F77432"/>
    <w:rsid w:val="00F80B09"/>
    <w:rsid w:val="00F813D2"/>
    <w:rsid w:val="00F8153D"/>
    <w:rsid w:val="00F8155D"/>
    <w:rsid w:val="00F81792"/>
    <w:rsid w:val="00F824D2"/>
    <w:rsid w:val="00F8277E"/>
    <w:rsid w:val="00F82887"/>
    <w:rsid w:val="00F82C62"/>
    <w:rsid w:val="00F83250"/>
    <w:rsid w:val="00F83FFC"/>
    <w:rsid w:val="00F8513E"/>
    <w:rsid w:val="00F853A3"/>
    <w:rsid w:val="00F85449"/>
    <w:rsid w:val="00F87292"/>
    <w:rsid w:val="00F910A9"/>
    <w:rsid w:val="00F91228"/>
    <w:rsid w:val="00F915B2"/>
    <w:rsid w:val="00F916A9"/>
    <w:rsid w:val="00F91BE6"/>
    <w:rsid w:val="00F91DF5"/>
    <w:rsid w:val="00F91FEF"/>
    <w:rsid w:val="00F92449"/>
    <w:rsid w:val="00F934FA"/>
    <w:rsid w:val="00F9357A"/>
    <w:rsid w:val="00F94657"/>
    <w:rsid w:val="00F94786"/>
    <w:rsid w:val="00F94EA2"/>
    <w:rsid w:val="00F96B92"/>
    <w:rsid w:val="00F97C78"/>
    <w:rsid w:val="00FA075C"/>
    <w:rsid w:val="00FA0B22"/>
    <w:rsid w:val="00FA0BA0"/>
    <w:rsid w:val="00FA2314"/>
    <w:rsid w:val="00FA4431"/>
    <w:rsid w:val="00FA469C"/>
    <w:rsid w:val="00FA490A"/>
    <w:rsid w:val="00FA4E0F"/>
    <w:rsid w:val="00FA5575"/>
    <w:rsid w:val="00FA668A"/>
    <w:rsid w:val="00FA7174"/>
    <w:rsid w:val="00FA734E"/>
    <w:rsid w:val="00FA79D3"/>
    <w:rsid w:val="00FB08C8"/>
    <w:rsid w:val="00FB16B0"/>
    <w:rsid w:val="00FB4340"/>
    <w:rsid w:val="00FB486D"/>
    <w:rsid w:val="00FB56FF"/>
    <w:rsid w:val="00FB7488"/>
    <w:rsid w:val="00FB765B"/>
    <w:rsid w:val="00FB79C8"/>
    <w:rsid w:val="00FB7B83"/>
    <w:rsid w:val="00FB7DB2"/>
    <w:rsid w:val="00FC0F7D"/>
    <w:rsid w:val="00FC2F34"/>
    <w:rsid w:val="00FC335F"/>
    <w:rsid w:val="00FC3FE7"/>
    <w:rsid w:val="00FC450F"/>
    <w:rsid w:val="00FC657B"/>
    <w:rsid w:val="00FC68F4"/>
    <w:rsid w:val="00FC6B12"/>
    <w:rsid w:val="00FD0FEB"/>
    <w:rsid w:val="00FD1F5D"/>
    <w:rsid w:val="00FD20BE"/>
    <w:rsid w:val="00FD4022"/>
    <w:rsid w:val="00FD451C"/>
    <w:rsid w:val="00FD4AA2"/>
    <w:rsid w:val="00FD515F"/>
    <w:rsid w:val="00FD5899"/>
    <w:rsid w:val="00FD63B5"/>
    <w:rsid w:val="00FD6CF8"/>
    <w:rsid w:val="00FD6E54"/>
    <w:rsid w:val="00FD6E68"/>
    <w:rsid w:val="00FD7122"/>
    <w:rsid w:val="00FE02DC"/>
    <w:rsid w:val="00FE03E8"/>
    <w:rsid w:val="00FE1B72"/>
    <w:rsid w:val="00FE3179"/>
    <w:rsid w:val="00FE3EC3"/>
    <w:rsid w:val="00FE47FF"/>
    <w:rsid w:val="00FE48DA"/>
    <w:rsid w:val="00FE4DCB"/>
    <w:rsid w:val="00FE578A"/>
    <w:rsid w:val="00FE6436"/>
    <w:rsid w:val="00FE6A17"/>
    <w:rsid w:val="00FE6EFF"/>
    <w:rsid w:val="00FF0F55"/>
    <w:rsid w:val="00FF1035"/>
    <w:rsid w:val="00FF1861"/>
    <w:rsid w:val="00FF2EDB"/>
    <w:rsid w:val="00FF31FA"/>
    <w:rsid w:val="00FF3557"/>
    <w:rsid w:val="00FF7820"/>
    <w:rsid w:val="00FF7DF5"/>
    <w:rsid w:val="011878FF"/>
    <w:rsid w:val="01255120"/>
    <w:rsid w:val="01300564"/>
    <w:rsid w:val="014559A6"/>
    <w:rsid w:val="014B5497"/>
    <w:rsid w:val="0158166C"/>
    <w:rsid w:val="01695520"/>
    <w:rsid w:val="01816A09"/>
    <w:rsid w:val="01F0403A"/>
    <w:rsid w:val="01F526AF"/>
    <w:rsid w:val="021B12D4"/>
    <w:rsid w:val="024E3220"/>
    <w:rsid w:val="0277653A"/>
    <w:rsid w:val="027B07D8"/>
    <w:rsid w:val="02B82118"/>
    <w:rsid w:val="02EA0B01"/>
    <w:rsid w:val="035756EB"/>
    <w:rsid w:val="036C16F1"/>
    <w:rsid w:val="03B7227C"/>
    <w:rsid w:val="03F51722"/>
    <w:rsid w:val="03F67B2F"/>
    <w:rsid w:val="043C2B44"/>
    <w:rsid w:val="043E7689"/>
    <w:rsid w:val="043F0511"/>
    <w:rsid w:val="045F131B"/>
    <w:rsid w:val="046405EE"/>
    <w:rsid w:val="04EA23F1"/>
    <w:rsid w:val="04F10AD1"/>
    <w:rsid w:val="0502259D"/>
    <w:rsid w:val="050716B0"/>
    <w:rsid w:val="05137F6D"/>
    <w:rsid w:val="052B1D23"/>
    <w:rsid w:val="05427DD8"/>
    <w:rsid w:val="05780722"/>
    <w:rsid w:val="058A071F"/>
    <w:rsid w:val="05FD48BE"/>
    <w:rsid w:val="06473986"/>
    <w:rsid w:val="06474539"/>
    <w:rsid w:val="067525E9"/>
    <w:rsid w:val="06E37046"/>
    <w:rsid w:val="070F716B"/>
    <w:rsid w:val="07336C40"/>
    <w:rsid w:val="074C6238"/>
    <w:rsid w:val="077770C8"/>
    <w:rsid w:val="0794200F"/>
    <w:rsid w:val="079C3C62"/>
    <w:rsid w:val="07D3188D"/>
    <w:rsid w:val="07DA5254"/>
    <w:rsid w:val="07E10B1C"/>
    <w:rsid w:val="082832F6"/>
    <w:rsid w:val="084C331C"/>
    <w:rsid w:val="087B7D1C"/>
    <w:rsid w:val="08877BE0"/>
    <w:rsid w:val="08B14008"/>
    <w:rsid w:val="08B73331"/>
    <w:rsid w:val="08BB280E"/>
    <w:rsid w:val="08F1655D"/>
    <w:rsid w:val="093454A7"/>
    <w:rsid w:val="098552F9"/>
    <w:rsid w:val="098C273E"/>
    <w:rsid w:val="09A30985"/>
    <w:rsid w:val="09A84B40"/>
    <w:rsid w:val="09BB6D88"/>
    <w:rsid w:val="09F2400E"/>
    <w:rsid w:val="0A216248"/>
    <w:rsid w:val="0A300664"/>
    <w:rsid w:val="0A342878"/>
    <w:rsid w:val="0A654A44"/>
    <w:rsid w:val="0A6E1714"/>
    <w:rsid w:val="0A7C0731"/>
    <w:rsid w:val="0AA209AA"/>
    <w:rsid w:val="0AEB020C"/>
    <w:rsid w:val="0B08765D"/>
    <w:rsid w:val="0B304DED"/>
    <w:rsid w:val="0B612BAE"/>
    <w:rsid w:val="0B627FDD"/>
    <w:rsid w:val="0BC738BF"/>
    <w:rsid w:val="0BE81238"/>
    <w:rsid w:val="0BF71DAF"/>
    <w:rsid w:val="0C041DB2"/>
    <w:rsid w:val="0C571163"/>
    <w:rsid w:val="0C6B31B9"/>
    <w:rsid w:val="0C6C0B64"/>
    <w:rsid w:val="0C94025C"/>
    <w:rsid w:val="0CA072C0"/>
    <w:rsid w:val="0CE24029"/>
    <w:rsid w:val="0D2E3D0F"/>
    <w:rsid w:val="0D302CFB"/>
    <w:rsid w:val="0D4E4F15"/>
    <w:rsid w:val="0D7C459A"/>
    <w:rsid w:val="0D7E0641"/>
    <w:rsid w:val="0DB5782C"/>
    <w:rsid w:val="0DD80BBF"/>
    <w:rsid w:val="0DEB2C64"/>
    <w:rsid w:val="0E48457A"/>
    <w:rsid w:val="0E6E6F75"/>
    <w:rsid w:val="0E7F1DC3"/>
    <w:rsid w:val="0EDD50AC"/>
    <w:rsid w:val="0EE00D72"/>
    <w:rsid w:val="0F081280"/>
    <w:rsid w:val="0F093A61"/>
    <w:rsid w:val="0F294770"/>
    <w:rsid w:val="0F307E25"/>
    <w:rsid w:val="0F7F48B2"/>
    <w:rsid w:val="0F972F91"/>
    <w:rsid w:val="0FD934B0"/>
    <w:rsid w:val="10134F4F"/>
    <w:rsid w:val="10443A0B"/>
    <w:rsid w:val="106640C2"/>
    <w:rsid w:val="106F75B1"/>
    <w:rsid w:val="107240FA"/>
    <w:rsid w:val="10861954"/>
    <w:rsid w:val="10880DFB"/>
    <w:rsid w:val="108C186A"/>
    <w:rsid w:val="111D4066"/>
    <w:rsid w:val="1125777C"/>
    <w:rsid w:val="116258EC"/>
    <w:rsid w:val="11844ECA"/>
    <w:rsid w:val="1187256E"/>
    <w:rsid w:val="11880D49"/>
    <w:rsid w:val="11CC5231"/>
    <w:rsid w:val="11CE05FE"/>
    <w:rsid w:val="11CE3633"/>
    <w:rsid w:val="120346BC"/>
    <w:rsid w:val="1218482D"/>
    <w:rsid w:val="12242C32"/>
    <w:rsid w:val="12297C61"/>
    <w:rsid w:val="12413A23"/>
    <w:rsid w:val="1242594B"/>
    <w:rsid w:val="1292521C"/>
    <w:rsid w:val="12994D49"/>
    <w:rsid w:val="12B15EBF"/>
    <w:rsid w:val="12BD6DCF"/>
    <w:rsid w:val="12E675A5"/>
    <w:rsid w:val="134A44E4"/>
    <w:rsid w:val="13754991"/>
    <w:rsid w:val="13AE271C"/>
    <w:rsid w:val="13B46D28"/>
    <w:rsid w:val="13B7497B"/>
    <w:rsid w:val="13DD60E6"/>
    <w:rsid w:val="13DF0C24"/>
    <w:rsid w:val="13E83CBA"/>
    <w:rsid w:val="14096D5D"/>
    <w:rsid w:val="14506E62"/>
    <w:rsid w:val="14766344"/>
    <w:rsid w:val="147811E8"/>
    <w:rsid w:val="148A129C"/>
    <w:rsid w:val="14A00775"/>
    <w:rsid w:val="14FC21E4"/>
    <w:rsid w:val="14FE5F5C"/>
    <w:rsid w:val="150A3DA2"/>
    <w:rsid w:val="15384B9C"/>
    <w:rsid w:val="153A5316"/>
    <w:rsid w:val="153F689B"/>
    <w:rsid w:val="156758B0"/>
    <w:rsid w:val="15744470"/>
    <w:rsid w:val="15B76112"/>
    <w:rsid w:val="161C3573"/>
    <w:rsid w:val="168E5705"/>
    <w:rsid w:val="168F1D46"/>
    <w:rsid w:val="16AA1EFA"/>
    <w:rsid w:val="170535D2"/>
    <w:rsid w:val="170D1F82"/>
    <w:rsid w:val="17C278FD"/>
    <w:rsid w:val="180D5241"/>
    <w:rsid w:val="18731803"/>
    <w:rsid w:val="18BB72B7"/>
    <w:rsid w:val="18CE6C54"/>
    <w:rsid w:val="18EC70EF"/>
    <w:rsid w:val="18FA6A3B"/>
    <w:rsid w:val="1932711D"/>
    <w:rsid w:val="19626A13"/>
    <w:rsid w:val="19A91A3B"/>
    <w:rsid w:val="19B94F67"/>
    <w:rsid w:val="1A0A1C23"/>
    <w:rsid w:val="1A221581"/>
    <w:rsid w:val="1A490FC2"/>
    <w:rsid w:val="1A586B67"/>
    <w:rsid w:val="1ADB6376"/>
    <w:rsid w:val="1ADD6983"/>
    <w:rsid w:val="1AEE011A"/>
    <w:rsid w:val="1B0307FF"/>
    <w:rsid w:val="1B102567"/>
    <w:rsid w:val="1B135435"/>
    <w:rsid w:val="1B261A15"/>
    <w:rsid w:val="1B2E4BA0"/>
    <w:rsid w:val="1B553785"/>
    <w:rsid w:val="1B922450"/>
    <w:rsid w:val="1B9C4763"/>
    <w:rsid w:val="1BC40B52"/>
    <w:rsid w:val="1BF776B2"/>
    <w:rsid w:val="1C4E11FC"/>
    <w:rsid w:val="1C891DCD"/>
    <w:rsid w:val="1C8F3ED9"/>
    <w:rsid w:val="1CB62B93"/>
    <w:rsid w:val="1CB906EE"/>
    <w:rsid w:val="1CD15662"/>
    <w:rsid w:val="1D1260EA"/>
    <w:rsid w:val="1D167BBB"/>
    <w:rsid w:val="1D18520B"/>
    <w:rsid w:val="1D6E17A5"/>
    <w:rsid w:val="1DB97B09"/>
    <w:rsid w:val="1DBD096A"/>
    <w:rsid w:val="1DC549FB"/>
    <w:rsid w:val="1DD07BEB"/>
    <w:rsid w:val="1DE7799D"/>
    <w:rsid w:val="1DEB0A39"/>
    <w:rsid w:val="1DF139D7"/>
    <w:rsid w:val="1E067C30"/>
    <w:rsid w:val="1E1566C4"/>
    <w:rsid w:val="1E232787"/>
    <w:rsid w:val="1E2C30A5"/>
    <w:rsid w:val="1E333E88"/>
    <w:rsid w:val="1E371714"/>
    <w:rsid w:val="1E6E19E3"/>
    <w:rsid w:val="1E90231B"/>
    <w:rsid w:val="1E9F5123"/>
    <w:rsid w:val="1EA66BF4"/>
    <w:rsid w:val="1ED15001"/>
    <w:rsid w:val="1EE63314"/>
    <w:rsid w:val="1EEE5244"/>
    <w:rsid w:val="1EFF5CD8"/>
    <w:rsid w:val="1F302558"/>
    <w:rsid w:val="1FA1752A"/>
    <w:rsid w:val="1FA94D17"/>
    <w:rsid w:val="1FB86255"/>
    <w:rsid w:val="1FC52206"/>
    <w:rsid w:val="1FCC3F87"/>
    <w:rsid w:val="1FEA2550"/>
    <w:rsid w:val="20062169"/>
    <w:rsid w:val="201F7B62"/>
    <w:rsid w:val="20227BC4"/>
    <w:rsid w:val="20455380"/>
    <w:rsid w:val="20B77B8B"/>
    <w:rsid w:val="20BB42DC"/>
    <w:rsid w:val="20CE182F"/>
    <w:rsid w:val="20D546AD"/>
    <w:rsid w:val="2114265C"/>
    <w:rsid w:val="21203A18"/>
    <w:rsid w:val="2131753F"/>
    <w:rsid w:val="21492E73"/>
    <w:rsid w:val="21546BE1"/>
    <w:rsid w:val="21A62121"/>
    <w:rsid w:val="21B31E7D"/>
    <w:rsid w:val="21CA616E"/>
    <w:rsid w:val="21D4251F"/>
    <w:rsid w:val="21E06BCE"/>
    <w:rsid w:val="22251F19"/>
    <w:rsid w:val="22253BAB"/>
    <w:rsid w:val="22596DB3"/>
    <w:rsid w:val="227C2A4A"/>
    <w:rsid w:val="228220F5"/>
    <w:rsid w:val="22C83D9B"/>
    <w:rsid w:val="22DB71B7"/>
    <w:rsid w:val="22E958C7"/>
    <w:rsid w:val="23241A37"/>
    <w:rsid w:val="238E5CD4"/>
    <w:rsid w:val="23A22E37"/>
    <w:rsid w:val="23A75A0D"/>
    <w:rsid w:val="23B009A2"/>
    <w:rsid w:val="23E9793C"/>
    <w:rsid w:val="2406098A"/>
    <w:rsid w:val="2425286B"/>
    <w:rsid w:val="242B2707"/>
    <w:rsid w:val="24500AD3"/>
    <w:rsid w:val="24760662"/>
    <w:rsid w:val="24942C9D"/>
    <w:rsid w:val="24A115B3"/>
    <w:rsid w:val="24B20D89"/>
    <w:rsid w:val="24CB6E68"/>
    <w:rsid w:val="24DF1D4A"/>
    <w:rsid w:val="24E473C7"/>
    <w:rsid w:val="24E758E2"/>
    <w:rsid w:val="25090731"/>
    <w:rsid w:val="25352E69"/>
    <w:rsid w:val="257A6E6C"/>
    <w:rsid w:val="25AA509E"/>
    <w:rsid w:val="25B57007"/>
    <w:rsid w:val="25ED48B4"/>
    <w:rsid w:val="25F767DC"/>
    <w:rsid w:val="26285D9B"/>
    <w:rsid w:val="26512F95"/>
    <w:rsid w:val="266E5849"/>
    <w:rsid w:val="268F66AF"/>
    <w:rsid w:val="26963F04"/>
    <w:rsid w:val="269D0002"/>
    <w:rsid w:val="26A608E2"/>
    <w:rsid w:val="26F35DC8"/>
    <w:rsid w:val="26F67809"/>
    <w:rsid w:val="26F83608"/>
    <w:rsid w:val="271B0BE9"/>
    <w:rsid w:val="27580290"/>
    <w:rsid w:val="2762330F"/>
    <w:rsid w:val="27910056"/>
    <w:rsid w:val="27BA2FC4"/>
    <w:rsid w:val="27C55D8F"/>
    <w:rsid w:val="27DF5043"/>
    <w:rsid w:val="27E7229F"/>
    <w:rsid w:val="27F83496"/>
    <w:rsid w:val="280E0F60"/>
    <w:rsid w:val="28133DE7"/>
    <w:rsid w:val="282C3E01"/>
    <w:rsid w:val="28373807"/>
    <w:rsid w:val="28782E5B"/>
    <w:rsid w:val="287F61F3"/>
    <w:rsid w:val="288F719F"/>
    <w:rsid w:val="289D02D9"/>
    <w:rsid w:val="289F1BF8"/>
    <w:rsid w:val="28AE3C3D"/>
    <w:rsid w:val="28B470B3"/>
    <w:rsid w:val="28D93D94"/>
    <w:rsid w:val="28E818B0"/>
    <w:rsid w:val="29540B73"/>
    <w:rsid w:val="298F31CF"/>
    <w:rsid w:val="29A02A86"/>
    <w:rsid w:val="29BD23D5"/>
    <w:rsid w:val="29C92E4C"/>
    <w:rsid w:val="2A013719"/>
    <w:rsid w:val="2A273408"/>
    <w:rsid w:val="2AAF22B9"/>
    <w:rsid w:val="2ABB3D2F"/>
    <w:rsid w:val="2AF721FD"/>
    <w:rsid w:val="2B237B66"/>
    <w:rsid w:val="2B2B3AE8"/>
    <w:rsid w:val="2B305FE6"/>
    <w:rsid w:val="2B735A8E"/>
    <w:rsid w:val="2B7C77B4"/>
    <w:rsid w:val="2B896A80"/>
    <w:rsid w:val="2C357C4B"/>
    <w:rsid w:val="2C563FAB"/>
    <w:rsid w:val="2CA945A8"/>
    <w:rsid w:val="2D177764"/>
    <w:rsid w:val="2D262309"/>
    <w:rsid w:val="2D2B11F2"/>
    <w:rsid w:val="2D543AF3"/>
    <w:rsid w:val="2D6A1F89"/>
    <w:rsid w:val="2D8F23B4"/>
    <w:rsid w:val="2DCC6C26"/>
    <w:rsid w:val="2DCD5EAD"/>
    <w:rsid w:val="2DEA7629"/>
    <w:rsid w:val="2DFD104F"/>
    <w:rsid w:val="2E00469C"/>
    <w:rsid w:val="2E043850"/>
    <w:rsid w:val="2E1E744B"/>
    <w:rsid w:val="2E751AE7"/>
    <w:rsid w:val="2E760A82"/>
    <w:rsid w:val="2E877391"/>
    <w:rsid w:val="2E921E40"/>
    <w:rsid w:val="2E961800"/>
    <w:rsid w:val="2EA23101"/>
    <w:rsid w:val="2EA378F0"/>
    <w:rsid w:val="2EA9088F"/>
    <w:rsid w:val="2EBC3868"/>
    <w:rsid w:val="2F0205CE"/>
    <w:rsid w:val="2F522CD5"/>
    <w:rsid w:val="2FC21EC5"/>
    <w:rsid w:val="2FD94F23"/>
    <w:rsid w:val="2FDA3CB5"/>
    <w:rsid w:val="300F3937"/>
    <w:rsid w:val="300F4762"/>
    <w:rsid w:val="30236A0D"/>
    <w:rsid w:val="304618F2"/>
    <w:rsid w:val="30692378"/>
    <w:rsid w:val="30F97559"/>
    <w:rsid w:val="31043899"/>
    <w:rsid w:val="311D32E3"/>
    <w:rsid w:val="31234B59"/>
    <w:rsid w:val="312A37C5"/>
    <w:rsid w:val="313B6EF4"/>
    <w:rsid w:val="31404AF0"/>
    <w:rsid w:val="3172618A"/>
    <w:rsid w:val="3190298E"/>
    <w:rsid w:val="31977135"/>
    <w:rsid w:val="31FA7889"/>
    <w:rsid w:val="3202652B"/>
    <w:rsid w:val="32770FD6"/>
    <w:rsid w:val="327E41AE"/>
    <w:rsid w:val="3283122B"/>
    <w:rsid w:val="3298540C"/>
    <w:rsid w:val="32B3792B"/>
    <w:rsid w:val="32E75E2A"/>
    <w:rsid w:val="32FE5EE6"/>
    <w:rsid w:val="330C412D"/>
    <w:rsid w:val="332E79AE"/>
    <w:rsid w:val="337A2DF5"/>
    <w:rsid w:val="338A4B54"/>
    <w:rsid w:val="338F0D78"/>
    <w:rsid w:val="33983F52"/>
    <w:rsid w:val="33A55097"/>
    <w:rsid w:val="33A7235A"/>
    <w:rsid w:val="33A768EE"/>
    <w:rsid w:val="33C21D1C"/>
    <w:rsid w:val="33DE04ED"/>
    <w:rsid w:val="33E54F7B"/>
    <w:rsid w:val="33F53E88"/>
    <w:rsid w:val="34056025"/>
    <w:rsid w:val="340B1178"/>
    <w:rsid w:val="342462CD"/>
    <w:rsid w:val="345F06BD"/>
    <w:rsid w:val="34D03484"/>
    <w:rsid w:val="34EC21CF"/>
    <w:rsid w:val="34F36D08"/>
    <w:rsid w:val="34F6769E"/>
    <w:rsid w:val="351078BA"/>
    <w:rsid w:val="35763CEE"/>
    <w:rsid w:val="35926521"/>
    <w:rsid w:val="359F3596"/>
    <w:rsid w:val="35C13FF4"/>
    <w:rsid w:val="35C45F83"/>
    <w:rsid w:val="35CD3299"/>
    <w:rsid w:val="35D047C4"/>
    <w:rsid w:val="35D41F81"/>
    <w:rsid w:val="35D81BA0"/>
    <w:rsid w:val="35EB7778"/>
    <w:rsid w:val="35F36248"/>
    <w:rsid w:val="3608233F"/>
    <w:rsid w:val="36117A47"/>
    <w:rsid w:val="36372C24"/>
    <w:rsid w:val="36745049"/>
    <w:rsid w:val="36BD4922"/>
    <w:rsid w:val="36FD79CA"/>
    <w:rsid w:val="37011B8F"/>
    <w:rsid w:val="371116C7"/>
    <w:rsid w:val="3761337D"/>
    <w:rsid w:val="377C1996"/>
    <w:rsid w:val="37965EF0"/>
    <w:rsid w:val="37A020DC"/>
    <w:rsid w:val="37A5617B"/>
    <w:rsid w:val="37CC1D58"/>
    <w:rsid w:val="37F72EF8"/>
    <w:rsid w:val="38325FC8"/>
    <w:rsid w:val="385E6B25"/>
    <w:rsid w:val="38767A34"/>
    <w:rsid w:val="388163D9"/>
    <w:rsid w:val="388E7474"/>
    <w:rsid w:val="389B12A0"/>
    <w:rsid w:val="38A43F72"/>
    <w:rsid w:val="38AA376B"/>
    <w:rsid w:val="38DA4918"/>
    <w:rsid w:val="391159AF"/>
    <w:rsid w:val="395307A8"/>
    <w:rsid w:val="395A40E0"/>
    <w:rsid w:val="3962744C"/>
    <w:rsid w:val="39E3729F"/>
    <w:rsid w:val="39E95BF6"/>
    <w:rsid w:val="39F97011"/>
    <w:rsid w:val="3A527EC9"/>
    <w:rsid w:val="3A763C53"/>
    <w:rsid w:val="3A8F19D7"/>
    <w:rsid w:val="3AC60A0C"/>
    <w:rsid w:val="3AC628BC"/>
    <w:rsid w:val="3B283FEC"/>
    <w:rsid w:val="3B43343F"/>
    <w:rsid w:val="3B523D2E"/>
    <w:rsid w:val="3B6461AF"/>
    <w:rsid w:val="3BA26C4F"/>
    <w:rsid w:val="3BE0528C"/>
    <w:rsid w:val="3BE33C81"/>
    <w:rsid w:val="3BEE2047"/>
    <w:rsid w:val="3BF8588E"/>
    <w:rsid w:val="3D161B97"/>
    <w:rsid w:val="3D713E57"/>
    <w:rsid w:val="3DDF42CD"/>
    <w:rsid w:val="3DEB2C72"/>
    <w:rsid w:val="3DF95468"/>
    <w:rsid w:val="3DFD252B"/>
    <w:rsid w:val="3E1558F1"/>
    <w:rsid w:val="3E642467"/>
    <w:rsid w:val="3E651649"/>
    <w:rsid w:val="3E6F5651"/>
    <w:rsid w:val="3E884537"/>
    <w:rsid w:val="3E9204E0"/>
    <w:rsid w:val="3EAA2D18"/>
    <w:rsid w:val="3EAA488C"/>
    <w:rsid w:val="3EED6215"/>
    <w:rsid w:val="3F055FB6"/>
    <w:rsid w:val="3F095BBA"/>
    <w:rsid w:val="3F0F18C0"/>
    <w:rsid w:val="3F117BC0"/>
    <w:rsid w:val="3F210970"/>
    <w:rsid w:val="3F3703A2"/>
    <w:rsid w:val="3F3C70DA"/>
    <w:rsid w:val="3F4A64EA"/>
    <w:rsid w:val="3FA345E1"/>
    <w:rsid w:val="3FB07231"/>
    <w:rsid w:val="3FD5686F"/>
    <w:rsid w:val="40115726"/>
    <w:rsid w:val="401968B6"/>
    <w:rsid w:val="401E37BD"/>
    <w:rsid w:val="40387CC5"/>
    <w:rsid w:val="40696328"/>
    <w:rsid w:val="40774C91"/>
    <w:rsid w:val="408F6A49"/>
    <w:rsid w:val="40A42D88"/>
    <w:rsid w:val="40AD6875"/>
    <w:rsid w:val="40C958E6"/>
    <w:rsid w:val="40D45C40"/>
    <w:rsid w:val="40F75A60"/>
    <w:rsid w:val="40F87478"/>
    <w:rsid w:val="40FF5F31"/>
    <w:rsid w:val="410924A0"/>
    <w:rsid w:val="41CA7043"/>
    <w:rsid w:val="41D76B0D"/>
    <w:rsid w:val="41E21948"/>
    <w:rsid w:val="41F0672A"/>
    <w:rsid w:val="42136B13"/>
    <w:rsid w:val="42150D0E"/>
    <w:rsid w:val="424566C9"/>
    <w:rsid w:val="42467993"/>
    <w:rsid w:val="42721F4D"/>
    <w:rsid w:val="428D34C8"/>
    <w:rsid w:val="429F227D"/>
    <w:rsid w:val="42B515C8"/>
    <w:rsid w:val="42DA1B0B"/>
    <w:rsid w:val="42E67E3B"/>
    <w:rsid w:val="42FD3BF5"/>
    <w:rsid w:val="43210EE4"/>
    <w:rsid w:val="43421586"/>
    <w:rsid w:val="43550E5E"/>
    <w:rsid w:val="436D4129"/>
    <w:rsid w:val="43815AA8"/>
    <w:rsid w:val="43825742"/>
    <w:rsid w:val="43AD5C6F"/>
    <w:rsid w:val="43AF64F0"/>
    <w:rsid w:val="43C7483E"/>
    <w:rsid w:val="44173D7B"/>
    <w:rsid w:val="441F6C08"/>
    <w:rsid w:val="444B0F20"/>
    <w:rsid w:val="44661855"/>
    <w:rsid w:val="44B84B26"/>
    <w:rsid w:val="44C93697"/>
    <w:rsid w:val="44D30B0A"/>
    <w:rsid w:val="44DD5DAF"/>
    <w:rsid w:val="44FE5AC3"/>
    <w:rsid w:val="45310096"/>
    <w:rsid w:val="45687966"/>
    <w:rsid w:val="456B6447"/>
    <w:rsid w:val="45B3679A"/>
    <w:rsid w:val="45BD1960"/>
    <w:rsid w:val="45D96FB6"/>
    <w:rsid w:val="45DC4515"/>
    <w:rsid w:val="46030526"/>
    <w:rsid w:val="46305E48"/>
    <w:rsid w:val="463615B7"/>
    <w:rsid w:val="465E36DF"/>
    <w:rsid w:val="46971FD9"/>
    <w:rsid w:val="469D6AD4"/>
    <w:rsid w:val="469D79B4"/>
    <w:rsid w:val="469E5111"/>
    <w:rsid w:val="46E1248E"/>
    <w:rsid w:val="46FF0FDF"/>
    <w:rsid w:val="47072F2E"/>
    <w:rsid w:val="471B7B61"/>
    <w:rsid w:val="4726479D"/>
    <w:rsid w:val="474C54DB"/>
    <w:rsid w:val="478A6996"/>
    <w:rsid w:val="478F7F92"/>
    <w:rsid w:val="479C5057"/>
    <w:rsid w:val="48001857"/>
    <w:rsid w:val="480908C5"/>
    <w:rsid w:val="481132D5"/>
    <w:rsid w:val="48127829"/>
    <w:rsid w:val="481608EC"/>
    <w:rsid w:val="48164D90"/>
    <w:rsid w:val="481925EE"/>
    <w:rsid w:val="483D056E"/>
    <w:rsid w:val="485D3098"/>
    <w:rsid w:val="48987B9F"/>
    <w:rsid w:val="48AC5B81"/>
    <w:rsid w:val="48BC1913"/>
    <w:rsid w:val="48D16269"/>
    <w:rsid w:val="48D329B1"/>
    <w:rsid w:val="48E621E3"/>
    <w:rsid w:val="490359B3"/>
    <w:rsid w:val="492C754B"/>
    <w:rsid w:val="49431BB4"/>
    <w:rsid w:val="495824A8"/>
    <w:rsid w:val="495B272C"/>
    <w:rsid w:val="495D33B0"/>
    <w:rsid w:val="49680C10"/>
    <w:rsid w:val="498F6DCE"/>
    <w:rsid w:val="49A209D5"/>
    <w:rsid w:val="49E957DD"/>
    <w:rsid w:val="49F3463C"/>
    <w:rsid w:val="4A015115"/>
    <w:rsid w:val="4A0C48E9"/>
    <w:rsid w:val="4A1A64D6"/>
    <w:rsid w:val="4A2B43F6"/>
    <w:rsid w:val="4A3139FE"/>
    <w:rsid w:val="4A433C2A"/>
    <w:rsid w:val="4A4D0F4C"/>
    <w:rsid w:val="4A6207F9"/>
    <w:rsid w:val="4AD9363D"/>
    <w:rsid w:val="4B130A67"/>
    <w:rsid w:val="4B201A81"/>
    <w:rsid w:val="4B3738C6"/>
    <w:rsid w:val="4B3B68BB"/>
    <w:rsid w:val="4B457975"/>
    <w:rsid w:val="4B461AA8"/>
    <w:rsid w:val="4B6B53F2"/>
    <w:rsid w:val="4B835B73"/>
    <w:rsid w:val="4B971D44"/>
    <w:rsid w:val="4BCB4775"/>
    <w:rsid w:val="4BE416DB"/>
    <w:rsid w:val="4BE72FB7"/>
    <w:rsid w:val="4BE8464F"/>
    <w:rsid w:val="4BED7DB1"/>
    <w:rsid w:val="4BF5612E"/>
    <w:rsid w:val="4C443C2D"/>
    <w:rsid w:val="4C715F38"/>
    <w:rsid w:val="4C717E65"/>
    <w:rsid w:val="4C772699"/>
    <w:rsid w:val="4CA563AA"/>
    <w:rsid w:val="4CB51C00"/>
    <w:rsid w:val="4CCB1479"/>
    <w:rsid w:val="4CD62D3F"/>
    <w:rsid w:val="4CFB27A6"/>
    <w:rsid w:val="4D16451A"/>
    <w:rsid w:val="4D3B5284"/>
    <w:rsid w:val="4D68395F"/>
    <w:rsid w:val="4D811992"/>
    <w:rsid w:val="4DAD0E02"/>
    <w:rsid w:val="4DB73982"/>
    <w:rsid w:val="4DC37426"/>
    <w:rsid w:val="4DF57488"/>
    <w:rsid w:val="4E590A78"/>
    <w:rsid w:val="4E9B1B4B"/>
    <w:rsid w:val="4EA015F8"/>
    <w:rsid w:val="4EF94C6B"/>
    <w:rsid w:val="4F1851D0"/>
    <w:rsid w:val="4F2B25FB"/>
    <w:rsid w:val="4F4A531F"/>
    <w:rsid w:val="4F4B4814"/>
    <w:rsid w:val="4F546619"/>
    <w:rsid w:val="4F7800DE"/>
    <w:rsid w:val="4F7C78BD"/>
    <w:rsid w:val="4F98252E"/>
    <w:rsid w:val="4F9A59CD"/>
    <w:rsid w:val="4FA96264"/>
    <w:rsid w:val="4FAD5AE9"/>
    <w:rsid w:val="4FD239CB"/>
    <w:rsid w:val="4FFF7FBD"/>
    <w:rsid w:val="502C01A2"/>
    <w:rsid w:val="507C4B9E"/>
    <w:rsid w:val="50816CB4"/>
    <w:rsid w:val="509821C7"/>
    <w:rsid w:val="509E597B"/>
    <w:rsid w:val="5118600B"/>
    <w:rsid w:val="51190B33"/>
    <w:rsid w:val="51247E93"/>
    <w:rsid w:val="51364C4D"/>
    <w:rsid w:val="51390DD4"/>
    <w:rsid w:val="51DE16DB"/>
    <w:rsid w:val="520B73B5"/>
    <w:rsid w:val="52233365"/>
    <w:rsid w:val="52595776"/>
    <w:rsid w:val="527C0C46"/>
    <w:rsid w:val="5281447E"/>
    <w:rsid w:val="52AE0769"/>
    <w:rsid w:val="53131313"/>
    <w:rsid w:val="532D00D0"/>
    <w:rsid w:val="533B6149"/>
    <w:rsid w:val="533C53E2"/>
    <w:rsid w:val="534C267A"/>
    <w:rsid w:val="535B02D1"/>
    <w:rsid w:val="539505D2"/>
    <w:rsid w:val="539D7508"/>
    <w:rsid w:val="53AC47FA"/>
    <w:rsid w:val="53D233BC"/>
    <w:rsid w:val="53E30D7F"/>
    <w:rsid w:val="5418471B"/>
    <w:rsid w:val="542A15B1"/>
    <w:rsid w:val="545B4654"/>
    <w:rsid w:val="547249FC"/>
    <w:rsid w:val="547F595F"/>
    <w:rsid w:val="548434A1"/>
    <w:rsid w:val="54877498"/>
    <w:rsid w:val="54897C96"/>
    <w:rsid w:val="54A008D9"/>
    <w:rsid w:val="54B525E4"/>
    <w:rsid w:val="54D2278B"/>
    <w:rsid w:val="54FE72D7"/>
    <w:rsid w:val="558062A3"/>
    <w:rsid w:val="558A2919"/>
    <w:rsid w:val="55C53B86"/>
    <w:rsid w:val="55D944E9"/>
    <w:rsid w:val="55EE5876"/>
    <w:rsid w:val="55FE7DDB"/>
    <w:rsid w:val="560D2C70"/>
    <w:rsid w:val="56210D6A"/>
    <w:rsid w:val="563917BD"/>
    <w:rsid w:val="566F7208"/>
    <w:rsid w:val="56B43E4C"/>
    <w:rsid w:val="56B91708"/>
    <w:rsid w:val="56C34C8E"/>
    <w:rsid w:val="56E54778"/>
    <w:rsid w:val="57265554"/>
    <w:rsid w:val="573506A9"/>
    <w:rsid w:val="57401EA9"/>
    <w:rsid w:val="575723B6"/>
    <w:rsid w:val="57623B4D"/>
    <w:rsid w:val="57827E02"/>
    <w:rsid w:val="579161E1"/>
    <w:rsid w:val="579F5BF4"/>
    <w:rsid w:val="57AA72A2"/>
    <w:rsid w:val="57BD5228"/>
    <w:rsid w:val="57C50A39"/>
    <w:rsid w:val="580B005C"/>
    <w:rsid w:val="58457FEF"/>
    <w:rsid w:val="585A0562"/>
    <w:rsid w:val="58905D21"/>
    <w:rsid w:val="58DF1EFB"/>
    <w:rsid w:val="58E97957"/>
    <w:rsid w:val="58FB3120"/>
    <w:rsid w:val="59100961"/>
    <w:rsid w:val="5927018D"/>
    <w:rsid w:val="59474802"/>
    <w:rsid w:val="59815DE1"/>
    <w:rsid w:val="598570E4"/>
    <w:rsid w:val="59E218E8"/>
    <w:rsid w:val="59FA4812"/>
    <w:rsid w:val="5A3F0176"/>
    <w:rsid w:val="5A980725"/>
    <w:rsid w:val="5AF53786"/>
    <w:rsid w:val="5B1E4D30"/>
    <w:rsid w:val="5BBA46B0"/>
    <w:rsid w:val="5C04118E"/>
    <w:rsid w:val="5C074153"/>
    <w:rsid w:val="5C0D7E00"/>
    <w:rsid w:val="5C3078BA"/>
    <w:rsid w:val="5C631727"/>
    <w:rsid w:val="5C8357BE"/>
    <w:rsid w:val="5C9F2F14"/>
    <w:rsid w:val="5CD544A4"/>
    <w:rsid w:val="5CEA486D"/>
    <w:rsid w:val="5CF8598D"/>
    <w:rsid w:val="5D121CDB"/>
    <w:rsid w:val="5D4A5E95"/>
    <w:rsid w:val="5D5C7A80"/>
    <w:rsid w:val="5D840082"/>
    <w:rsid w:val="5D937158"/>
    <w:rsid w:val="5D985DDC"/>
    <w:rsid w:val="5DAD189A"/>
    <w:rsid w:val="5DF77F62"/>
    <w:rsid w:val="5E124625"/>
    <w:rsid w:val="5E125E77"/>
    <w:rsid w:val="5E413DE4"/>
    <w:rsid w:val="5E5F6234"/>
    <w:rsid w:val="5E783CA4"/>
    <w:rsid w:val="5EC632E5"/>
    <w:rsid w:val="5F453EB4"/>
    <w:rsid w:val="5F51363F"/>
    <w:rsid w:val="5F71190B"/>
    <w:rsid w:val="5F7C082D"/>
    <w:rsid w:val="5FAF1FD9"/>
    <w:rsid w:val="5FB04061"/>
    <w:rsid w:val="5FCE4022"/>
    <w:rsid w:val="5FD16B99"/>
    <w:rsid w:val="5FD9663B"/>
    <w:rsid w:val="5FF76179"/>
    <w:rsid w:val="5FFB7355"/>
    <w:rsid w:val="60495F87"/>
    <w:rsid w:val="605426A5"/>
    <w:rsid w:val="60730C29"/>
    <w:rsid w:val="607843E6"/>
    <w:rsid w:val="608C1CC3"/>
    <w:rsid w:val="60AF4C47"/>
    <w:rsid w:val="60F77994"/>
    <w:rsid w:val="61110BD4"/>
    <w:rsid w:val="612D3AF7"/>
    <w:rsid w:val="613A187B"/>
    <w:rsid w:val="6184208A"/>
    <w:rsid w:val="61852F71"/>
    <w:rsid w:val="6189617B"/>
    <w:rsid w:val="61906865"/>
    <w:rsid w:val="61AD587E"/>
    <w:rsid w:val="61C90100"/>
    <w:rsid w:val="61E64FE2"/>
    <w:rsid w:val="623917A1"/>
    <w:rsid w:val="624555BE"/>
    <w:rsid w:val="62516C98"/>
    <w:rsid w:val="62554706"/>
    <w:rsid w:val="62782477"/>
    <w:rsid w:val="6288510C"/>
    <w:rsid w:val="629B53C6"/>
    <w:rsid w:val="62BC3D80"/>
    <w:rsid w:val="62C32406"/>
    <w:rsid w:val="62C644FF"/>
    <w:rsid w:val="62E46A51"/>
    <w:rsid w:val="62E60F5F"/>
    <w:rsid w:val="62FD1AA0"/>
    <w:rsid w:val="6322210C"/>
    <w:rsid w:val="63282226"/>
    <w:rsid w:val="633C6504"/>
    <w:rsid w:val="63586960"/>
    <w:rsid w:val="637319D7"/>
    <w:rsid w:val="637E2D0B"/>
    <w:rsid w:val="63965912"/>
    <w:rsid w:val="63AB23D8"/>
    <w:rsid w:val="63D11026"/>
    <w:rsid w:val="63F45CCF"/>
    <w:rsid w:val="64002DAD"/>
    <w:rsid w:val="64224D9C"/>
    <w:rsid w:val="6481085F"/>
    <w:rsid w:val="64BB3072"/>
    <w:rsid w:val="654B6A2B"/>
    <w:rsid w:val="656A1E1F"/>
    <w:rsid w:val="656B49BE"/>
    <w:rsid w:val="65846BD5"/>
    <w:rsid w:val="65930340"/>
    <w:rsid w:val="659F468D"/>
    <w:rsid w:val="65A3472C"/>
    <w:rsid w:val="65AC27E1"/>
    <w:rsid w:val="65B01225"/>
    <w:rsid w:val="65B24E58"/>
    <w:rsid w:val="65B509FD"/>
    <w:rsid w:val="66077005"/>
    <w:rsid w:val="66582F8E"/>
    <w:rsid w:val="667C6B9A"/>
    <w:rsid w:val="669837D3"/>
    <w:rsid w:val="669A3273"/>
    <w:rsid w:val="66E71233"/>
    <w:rsid w:val="66F0546D"/>
    <w:rsid w:val="672C4247"/>
    <w:rsid w:val="676C00D0"/>
    <w:rsid w:val="67837E01"/>
    <w:rsid w:val="67C433A0"/>
    <w:rsid w:val="67D13076"/>
    <w:rsid w:val="67E10ABE"/>
    <w:rsid w:val="67E8173B"/>
    <w:rsid w:val="68592B44"/>
    <w:rsid w:val="68780458"/>
    <w:rsid w:val="68835BBD"/>
    <w:rsid w:val="68AF4411"/>
    <w:rsid w:val="68FD36D6"/>
    <w:rsid w:val="69097887"/>
    <w:rsid w:val="691A62E0"/>
    <w:rsid w:val="6921668A"/>
    <w:rsid w:val="69733998"/>
    <w:rsid w:val="69A97ED5"/>
    <w:rsid w:val="69BB3995"/>
    <w:rsid w:val="69CF2F9E"/>
    <w:rsid w:val="69E035C4"/>
    <w:rsid w:val="69F43806"/>
    <w:rsid w:val="6AD7760E"/>
    <w:rsid w:val="6AE91319"/>
    <w:rsid w:val="6AEB6204"/>
    <w:rsid w:val="6AF22224"/>
    <w:rsid w:val="6B820FD4"/>
    <w:rsid w:val="6BA517D3"/>
    <w:rsid w:val="6C5E0DB2"/>
    <w:rsid w:val="6C5F48C1"/>
    <w:rsid w:val="6CAC76D4"/>
    <w:rsid w:val="6CF61D1B"/>
    <w:rsid w:val="6D072C9C"/>
    <w:rsid w:val="6D284B6B"/>
    <w:rsid w:val="6D3C37FA"/>
    <w:rsid w:val="6D47246C"/>
    <w:rsid w:val="6D6868FC"/>
    <w:rsid w:val="6D7B0222"/>
    <w:rsid w:val="6D942AA6"/>
    <w:rsid w:val="6DA14E42"/>
    <w:rsid w:val="6DC42A14"/>
    <w:rsid w:val="6DC9002B"/>
    <w:rsid w:val="6DDE27FD"/>
    <w:rsid w:val="6E0702E9"/>
    <w:rsid w:val="6E072901"/>
    <w:rsid w:val="6E64776D"/>
    <w:rsid w:val="6E704472"/>
    <w:rsid w:val="6E873A32"/>
    <w:rsid w:val="6EB71F3F"/>
    <w:rsid w:val="6EB94CE2"/>
    <w:rsid w:val="6EEE2536"/>
    <w:rsid w:val="6F0926A9"/>
    <w:rsid w:val="6F1A6215"/>
    <w:rsid w:val="6F4E1CA3"/>
    <w:rsid w:val="6F5F0C4A"/>
    <w:rsid w:val="6F631DB9"/>
    <w:rsid w:val="6F7B6AA3"/>
    <w:rsid w:val="6F944E37"/>
    <w:rsid w:val="6FC81217"/>
    <w:rsid w:val="700F3240"/>
    <w:rsid w:val="70353860"/>
    <w:rsid w:val="706711F9"/>
    <w:rsid w:val="7072622F"/>
    <w:rsid w:val="70AE52B6"/>
    <w:rsid w:val="70C42D2B"/>
    <w:rsid w:val="70E73562"/>
    <w:rsid w:val="70FB2797"/>
    <w:rsid w:val="710825F2"/>
    <w:rsid w:val="71116C80"/>
    <w:rsid w:val="71222E58"/>
    <w:rsid w:val="712C70EC"/>
    <w:rsid w:val="713059FB"/>
    <w:rsid w:val="714A6369"/>
    <w:rsid w:val="714D44B0"/>
    <w:rsid w:val="716E165F"/>
    <w:rsid w:val="7188160E"/>
    <w:rsid w:val="718D479E"/>
    <w:rsid w:val="718F1C95"/>
    <w:rsid w:val="7192363A"/>
    <w:rsid w:val="71932B51"/>
    <w:rsid w:val="71AA7947"/>
    <w:rsid w:val="71AD783A"/>
    <w:rsid w:val="71BE71B9"/>
    <w:rsid w:val="71DB24BD"/>
    <w:rsid w:val="71DF280C"/>
    <w:rsid w:val="72317313"/>
    <w:rsid w:val="726B686B"/>
    <w:rsid w:val="727E0FB1"/>
    <w:rsid w:val="728071FB"/>
    <w:rsid w:val="729055BB"/>
    <w:rsid w:val="72A37CB3"/>
    <w:rsid w:val="72A423D9"/>
    <w:rsid w:val="72BB015E"/>
    <w:rsid w:val="72F83956"/>
    <w:rsid w:val="73025CFD"/>
    <w:rsid w:val="73032DD9"/>
    <w:rsid w:val="731D0130"/>
    <w:rsid w:val="734343DF"/>
    <w:rsid w:val="73694971"/>
    <w:rsid w:val="739F133D"/>
    <w:rsid w:val="73FB3150"/>
    <w:rsid w:val="74177495"/>
    <w:rsid w:val="74260E1D"/>
    <w:rsid w:val="744C5C32"/>
    <w:rsid w:val="744E204A"/>
    <w:rsid w:val="745D650D"/>
    <w:rsid w:val="745F2092"/>
    <w:rsid w:val="7468152D"/>
    <w:rsid w:val="74CE2B34"/>
    <w:rsid w:val="74ED00CF"/>
    <w:rsid w:val="750172FE"/>
    <w:rsid w:val="75046C84"/>
    <w:rsid w:val="754E3FEE"/>
    <w:rsid w:val="756E770A"/>
    <w:rsid w:val="75A16F74"/>
    <w:rsid w:val="75A66EA3"/>
    <w:rsid w:val="75B22747"/>
    <w:rsid w:val="75B34F63"/>
    <w:rsid w:val="75C44D0C"/>
    <w:rsid w:val="75E107C6"/>
    <w:rsid w:val="75EB5050"/>
    <w:rsid w:val="75F21E91"/>
    <w:rsid w:val="75FB22D0"/>
    <w:rsid w:val="75FF3203"/>
    <w:rsid w:val="760100DD"/>
    <w:rsid w:val="762D3A82"/>
    <w:rsid w:val="762F1278"/>
    <w:rsid w:val="763C4376"/>
    <w:rsid w:val="76492D8B"/>
    <w:rsid w:val="764F47C2"/>
    <w:rsid w:val="767B3E8C"/>
    <w:rsid w:val="7682346D"/>
    <w:rsid w:val="76870A83"/>
    <w:rsid w:val="769552DA"/>
    <w:rsid w:val="769C5A77"/>
    <w:rsid w:val="76BC15D4"/>
    <w:rsid w:val="76D65215"/>
    <w:rsid w:val="77364DC7"/>
    <w:rsid w:val="773F019C"/>
    <w:rsid w:val="7763329E"/>
    <w:rsid w:val="77752FD1"/>
    <w:rsid w:val="7779583D"/>
    <w:rsid w:val="77B00366"/>
    <w:rsid w:val="77E737A8"/>
    <w:rsid w:val="78035284"/>
    <w:rsid w:val="780A5E8E"/>
    <w:rsid w:val="78202F3D"/>
    <w:rsid w:val="78250553"/>
    <w:rsid w:val="78713799"/>
    <w:rsid w:val="788D6747"/>
    <w:rsid w:val="78C264F1"/>
    <w:rsid w:val="78CC6D70"/>
    <w:rsid w:val="78D01BEA"/>
    <w:rsid w:val="78D724DF"/>
    <w:rsid w:val="78E37B89"/>
    <w:rsid w:val="794F7E25"/>
    <w:rsid w:val="79505854"/>
    <w:rsid w:val="79CB512B"/>
    <w:rsid w:val="79E1463D"/>
    <w:rsid w:val="79E33E66"/>
    <w:rsid w:val="79E864EA"/>
    <w:rsid w:val="79EB757B"/>
    <w:rsid w:val="7A026023"/>
    <w:rsid w:val="7A071D0C"/>
    <w:rsid w:val="7A28432B"/>
    <w:rsid w:val="7A304427"/>
    <w:rsid w:val="7A73294B"/>
    <w:rsid w:val="7A803593"/>
    <w:rsid w:val="7AA12B22"/>
    <w:rsid w:val="7AAF1593"/>
    <w:rsid w:val="7AB3785E"/>
    <w:rsid w:val="7AC24AA0"/>
    <w:rsid w:val="7AEE447E"/>
    <w:rsid w:val="7AFD02EF"/>
    <w:rsid w:val="7B194887"/>
    <w:rsid w:val="7B2347B3"/>
    <w:rsid w:val="7B73126E"/>
    <w:rsid w:val="7B892BA7"/>
    <w:rsid w:val="7BB13139"/>
    <w:rsid w:val="7BB40A6C"/>
    <w:rsid w:val="7BC10593"/>
    <w:rsid w:val="7C0F3FAB"/>
    <w:rsid w:val="7C4E3105"/>
    <w:rsid w:val="7C541E3F"/>
    <w:rsid w:val="7C59231E"/>
    <w:rsid w:val="7C8C4CDB"/>
    <w:rsid w:val="7D3628E5"/>
    <w:rsid w:val="7D88422A"/>
    <w:rsid w:val="7DCA0675"/>
    <w:rsid w:val="7DF43D7D"/>
    <w:rsid w:val="7E812BC5"/>
    <w:rsid w:val="7E8B56D8"/>
    <w:rsid w:val="7EAA5EA6"/>
    <w:rsid w:val="7EBE35EA"/>
    <w:rsid w:val="7ECD54A1"/>
    <w:rsid w:val="7F0F3FEE"/>
    <w:rsid w:val="7F18226F"/>
    <w:rsid w:val="7F364EA1"/>
    <w:rsid w:val="7F3F1A1B"/>
    <w:rsid w:val="7F5079C1"/>
    <w:rsid w:val="7F5703FE"/>
    <w:rsid w:val="7F855407"/>
    <w:rsid w:val="7F95252D"/>
    <w:rsid w:val="7F960605"/>
    <w:rsid w:val="7FF276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name="toa heading"/>
    <w:lsdException w:uiPriority="0" w:name="List"/>
    <w:lsdException w:uiPriority="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69"/>
    <w:qFormat/>
    <w:uiPriority w:val="0"/>
    <w:pPr>
      <w:keepNext/>
      <w:tabs>
        <w:tab w:val="left" w:pos="3360"/>
      </w:tabs>
      <w:snapToGrid w:val="0"/>
      <w:spacing w:beforeLines="100" w:afterLines="50" w:line="800" w:lineRule="atLeast"/>
      <w:jc w:val="center"/>
      <w:outlineLvl w:val="0"/>
    </w:pPr>
    <w:rPr>
      <w:rFonts w:eastAsia="黑体"/>
      <w:sz w:val="44"/>
    </w:rPr>
  </w:style>
  <w:style w:type="paragraph" w:styleId="3">
    <w:name w:val="heading 2"/>
    <w:basedOn w:val="1"/>
    <w:next w:val="1"/>
    <w:link w:val="70"/>
    <w:qFormat/>
    <w:uiPriority w:val="0"/>
    <w:pPr>
      <w:keepNext/>
      <w:keepLines/>
      <w:adjustRightInd w:val="0"/>
      <w:snapToGrid w:val="0"/>
      <w:spacing w:line="360" w:lineRule="auto"/>
      <w:ind w:firstLine="720" w:firstLineChars="200"/>
      <w:outlineLvl w:val="1"/>
    </w:pPr>
    <w:rPr>
      <w:rFonts w:ascii="宋体" w:hAnsi="宋体"/>
      <w:b/>
    </w:rPr>
  </w:style>
  <w:style w:type="paragraph" w:styleId="4">
    <w:name w:val="heading 3"/>
    <w:basedOn w:val="1"/>
    <w:next w:val="1"/>
    <w:qFormat/>
    <w:uiPriority w:val="0"/>
    <w:pPr>
      <w:keepNext/>
      <w:keepLines/>
      <w:spacing w:line="360" w:lineRule="auto"/>
      <w:jc w:val="left"/>
      <w:outlineLvl w:val="2"/>
    </w:pPr>
    <w:rPr>
      <w:b/>
      <w:sz w:val="24"/>
    </w:rPr>
  </w:style>
  <w:style w:type="paragraph" w:styleId="5">
    <w:name w:val="heading 4"/>
    <w:basedOn w:val="1"/>
    <w:next w:val="1"/>
    <w:qFormat/>
    <w:uiPriority w:val="0"/>
    <w:pPr>
      <w:keepNext/>
      <w:keepLines/>
      <w:numPr>
        <w:ilvl w:val="0"/>
        <w:numId w:val="1"/>
      </w:numPr>
      <w:spacing w:before="560" w:after="290" w:line="377"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4"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9"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9"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9" w:lineRule="auto"/>
      <w:ind w:left="1584" w:hanging="1584"/>
      <w:outlineLvl w:val="8"/>
    </w:pPr>
    <w:rPr>
      <w:rFonts w:ascii="Arial" w:hAnsi="Arial" w:eastAsia="黑体"/>
      <w:b/>
      <w:sz w:val="24"/>
    </w:rPr>
  </w:style>
  <w:style w:type="character" w:default="1" w:styleId="61">
    <w:name w:val="Default Paragraph Font"/>
    <w:unhideWhenUsed/>
    <w:qFormat/>
    <w:uiPriority w:val="1"/>
  </w:style>
  <w:style w:type="table" w:default="1" w:styleId="59">
    <w:name w:val="Normal Table"/>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semiHidden/>
    <w:qFormat/>
    <w:uiPriority w:val="0"/>
    <w:pPr>
      <w:ind w:left="2520" w:leftChars="1200"/>
    </w:pPr>
  </w:style>
  <w:style w:type="paragraph" w:styleId="13">
    <w:name w:val="List Number 2"/>
    <w:basedOn w:val="1"/>
    <w:qFormat/>
    <w:uiPriority w:val="0"/>
    <w:pPr>
      <w:numPr>
        <w:ilvl w:val="0"/>
        <w:numId w:val="2"/>
      </w:numPr>
      <w:spacing w:line="360" w:lineRule="auto"/>
    </w:pPr>
    <w:rPr>
      <w:sz w:val="24"/>
    </w:rPr>
  </w:style>
  <w:style w:type="paragraph" w:styleId="14">
    <w:name w:val="List Bullet 4"/>
    <w:basedOn w:val="1"/>
    <w:qFormat/>
    <w:uiPriority w:val="0"/>
    <w:pPr>
      <w:widowControl/>
      <w:numPr>
        <w:ilvl w:val="0"/>
        <w:numId w:val="3"/>
      </w:numPr>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semiHidden/>
    <w:qFormat/>
    <w:uiPriority w:val="0"/>
    <w:pPr>
      <w:shd w:val="clear" w:color="auto" w:fill="000080"/>
    </w:pPr>
  </w:style>
  <w:style w:type="paragraph" w:styleId="18">
    <w:name w:val="toa heading"/>
    <w:basedOn w:val="1"/>
    <w:next w:val="1"/>
    <w:semiHidden/>
    <w:qFormat/>
    <w:uiPriority w:val="0"/>
    <w:pPr>
      <w:spacing w:before="120"/>
    </w:pPr>
    <w:rPr>
      <w:rFonts w:ascii="Arial" w:hAnsi="Arial"/>
      <w:sz w:val="24"/>
    </w:rPr>
  </w:style>
  <w:style w:type="paragraph" w:styleId="19">
    <w:name w:val="annotation text"/>
    <w:basedOn w:val="1"/>
    <w:semiHidden/>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numPr>
        <w:ilvl w:val="0"/>
        <w:numId w:val="4"/>
      </w:numPr>
      <w:adjustRightInd w:val="0"/>
      <w:snapToGrid w:val="0"/>
      <w:spacing w:line="360" w:lineRule="auto"/>
    </w:pPr>
    <w:rPr>
      <w:sz w:val="24"/>
    </w:rPr>
  </w:style>
  <w:style w:type="paragraph" w:styleId="22">
    <w:name w:val="Body Text"/>
    <w:basedOn w:val="1"/>
    <w:next w:val="1"/>
    <w:qFormat/>
    <w:uiPriority w:val="0"/>
    <w:rPr>
      <w:rFonts w:ascii="仿宋_GB2312" w:eastAsia="仿宋_GB2312"/>
      <w:sz w:val="32"/>
    </w:rPr>
  </w:style>
  <w:style w:type="paragraph" w:styleId="23">
    <w:name w:val="Body Text Indent"/>
    <w:basedOn w:val="1"/>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List Bullet 2"/>
    <w:basedOn w:val="1"/>
    <w:qFormat/>
    <w:uiPriority w:val="0"/>
    <w:pPr>
      <w:numPr>
        <w:ilvl w:val="0"/>
        <w:numId w:val="5"/>
      </w:numPr>
      <w:adjustRightInd w:val="0"/>
      <w:snapToGrid w:val="0"/>
      <w:spacing w:line="360" w:lineRule="auto"/>
    </w:pPr>
    <w:rPr>
      <w:sz w:val="24"/>
    </w:rPr>
  </w:style>
  <w:style w:type="paragraph" w:styleId="28">
    <w:name w:val="toc 5"/>
    <w:basedOn w:val="1"/>
    <w:next w:val="1"/>
    <w:semiHidden/>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next w:val="15"/>
    <w:qFormat/>
    <w:uiPriority w:val="0"/>
    <w:pPr>
      <w:adjustRightInd w:val="0"/>
      <w:snapToGrid w:val="0"/>
      <w:spacing w:line="360" w:lineRule="auto"/>
    </w:pPr>
    <w:rPr>
      <w:rFonts w:ascii="宋体" w:hAnsi="Courier New"/>
      <w:sz w:val="21"/>
    </w:rPr>
  </w:style>
  <w:style w:type="paragraph" w:styleId="31">
    <w:name w:val="toc 8"/>
    <w:basedOn w:val="1"/>
    <w:next w:val="1"/>
    <w:semiHidden/>
    <w:qFormat/>
    <w:uiPriority w:val="0"/>
    <w:pPr>
      <w:ind w:left="2940" w:leftChars="1400"/>
    </w:pPr>
  </w:style>
  <w:style w:type="paragraph" w:styleId="32">
    <w:name w:val="Date"/>
    <w:basedOn w:val="1"/>
    <w:next w:val="1"/>
    <w:link w:val="71"/>
    <w:qFormat/>
    <w:uiPriority w:val="0"/>
  </w:style>
  <w:style w:type="paragraph" w:styleId="33">
    <w:name w:val="Body Text Indent 2"/>
    <w:basedOn w:val="1"/>
    <w:qFormat/>
    <w:uiPriority w:val="0"/>
    <w:pPr>
      <w:snapToGrid w:val="0"/>
      <w:spacing w:line="440" w:lineRule="atLeast"/>
      <w:ind w:firstLine="570"/>
    </w:pPr>
    <w:rPr>
      <w:rFonts w:ascii="宋体"/>
    </w:rPr>
  </w:style>
  <w:style w:type="paragraph" w:styleId="34">
    <w:name w:val="Balloon Text"/>
    <w:basedOn w:val="1"/>
    <w:qFormat/>
    <w:uiPriority w:val="0"/>
    <w:rPr>
      <w:sz w:val="18"/>
    </w:rPr>
  </w:style>
  <w:style w:type="paragraph" w:styleId="35">
    <w:name w:val="footer"/>
    <w:basedOn w:val="1"/>
    <w:link w:val="72"/>
    <w:qFormat/>
    <w:uiPriority w:val="99"/>
    <w:pPr>
      <w:tabs>
        <w:tab w:val="center" w:pos="4153"/>
        <w:tab w:val="right" w:pos="8306"/>
      </w:tabs>
      <w:snapToGrid w:val="0"/>
      <w:jc w:val="left"/>
    </w:pPr>
    <w:rPr>
      <w:sz w:val="18"/>
    </w:rPr>
  </w:style>
  <w:style w:type="paragraph" w:styleId="36">
    <w:name w:val="header"/>
    <w:basedOn w:val="1"/>
    <w:link w:val="73"/>
    <w:qFormat/>
    <w:uiPriority w:val="99"/>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39"/>
    <w:pPr>
      <w:tabs>
        <w:tab w:val="left" w:pos="1260"/>
        <w:tab w:val="left" w:pos="1685"/>
        <w:tab w:val="right" w:leader="dot" w:pos="8400"/>
      </w:tabs>
    </w:pPr>
    <w:rPr>
      <w:sz w:val="24"/>
    </w:rPr>
  </w:style>
  <w:style w:type="paragraph" w:styleId="38">
    <w:name w:val="List Continue 4"/>
    <w:basedOn w:val="1"/>
    <w:qFormat/>
    <w:uiPriority w:val="0"/>
    <w:pPr>
      <w:adjustRightInd w:val="0"/>
      <w:snapToGrid w:val="0"/>
      <w:spacing w:after="120" w:line="360" w:lineRule="auto"/>
      <w:ind w:left="1680" w:leftChars="800"/>
    </w:pPr>
    <w:rPr>
      <w:sz w:val="24"/>
    </w:rPr>
  </w:style>
  <w:style w:type="paragraph" w:styleId="39">
    <w:name w:val="toc 4"/>
    <w:basedOn w:val="1"/>
    <w:next w:val="1"/>
    <w:semiHidden/>
    <w:qFormat/>
    <w:uiPriority w:val="0"/>
    <w:pPr>
      <w:ind w:left="1260" w:leftChars="600"/>
    </w:pPr>
  </w:style>
  <w:style w:type="paragraph" w:styleId="40">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41">
    <w:name w:val="footnote text"/>
    <w:basedOn w:val="1"/>
    <w:semiHidden/>
    <w:qFormat/>
    <w:uiPriority w:val="0"/>
    <w:pPr>
      <w:spacing w:line="360" w:lineRule="auto"/>
    </w:pPr>
    <w:rPr>
      <w:sz w:val="18"/>
    </w:rPr>
  </w:style>
  <w:style w:type="paragraph" w:styleId="42">
    <w:name w:val="toc 6"/>
    <w:basedOn w:val="1"/>
    <w:next w:val="1"/>
    <w:semiHidden/>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semiHidden/>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440" w:lineRule="exact"/>
      <w:ind w:left="280" w:leftChars="100" w:right="-91" w:rightChars="-91"/>
    </w:pPr>
  </w:style>
  <w:style w:type="paragraph" w:styleId="47">
    <w:name w:val="toc 9"/>
    <w:basedOn w:val="1"/>
    <w:next w:val="1"/>
    <w:semiHidden/>
    <w:qFormat/>
    <w:uiPriority w:val="0"/>
    <w:pPr>
      <w:ind w:left="3360" w:leftChars="1600"/>
    </w:pPr>
  </w:style>
  <w:style w:type="paragraph" w:styleId="48">
    <w:name w:val="Body Text 2"/>
    <w:basedOn w:val="1"/>
    <w:next w:val="22"/>
    <w:qFormat/>
    <w:uiPriority w:val="0"/>
    <w:pPr>
      <w:adjustRightInd w:val="0"/>
      <w:snapToGrid w:val="0"/>
      <w:spacing w:after="12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line="360" w:lineRule="auto"/>
      <w:ind w:left="840" w:leftChars="400"/>
    </w:pPr>
    <w:rPr>
      <w:sz w:val="24"/>
    </w:rPr>
  </w:style>
  <w:style w:type="paragraph" w:styleId="51">
    <w:name w:val="HTML Preformatted"/>
    <w:basedOn w:val="1"/>
    <w:link w:val="7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52">
    <w:name w:val="Normal (Web)"/>
    <w:basedOn w:val="1"/>
    <w:qFormat/>
    <w:uiPriority w:val="0"/>
    <w:pPr>
      <w:widowControl/>
      <w:spacing w:before="100" w:beforeAutospacing="1" w:after="10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line="360" w:lineRule="auto"/>
      <w:ind w:left="1260" w:leftChars="600"/>
    </w:pPr>
    <w:rPr>
      <w:sz w:val="24"/>
    </w:rPr>
  </w:style>
  <w:style w:type="paragraph" w:styleId="54">
    <w:name w:val="index 1"/>
    <w:basedOn w:val="1"/>
    <w:next w:val="1"/>
    <w:semiHidden/>
    <w:qFormat/>
    <w:uiPriority w:val="0"/>
    <w:pPr>
      <w:adjustRightInd w:val="0"/>
      <w:spacing w:line="240" w:lineRule="atLeast"/>
      <w:textAlignment w:val="baseline"/>
    </w:pPr>
    <w:rPr>
      <w:rFonts w:ascii="宋体"/>
      <w:kern w:val="0"/>
      <w:sz w:val="21"/>
    </w:rPr>
  </w:style>
  <w:style w:type="paragraph" w:styleId="55">
    <w:name w:val="Title"/>
    <w:basedOn w:val="1"/>
    <w:next w:val="1"/>
    <w:link w:val="75"/>
    <w:qFormat/>
    <w:uiPriority w:val="0"/>
    <w:pPr>
      <w:widowControl/>
      <w:spacing w:after="240" w:line="360" w:lineRule="auto"/>
      <w:jc w:val="center"/>
    </w:pPr>
    <w:rPr>
      <w:rFonts w:ascii="Arial" w:hAnsi="Arial"/>
      <w:b/>
      <w:smallCaps/>
      <w:kern w:val="28"/>
      <w:sz w:val="36"/>
      <w:lang w:eastAsia="en-US"/>
    </w:rPr>
  </w:style>
  <w:style w:type="paragraph" w:styleId="56">
    <w:name w:val="annotation subject"/>
    <w:basedOn w:val="19"/>
    <w:next w:val="19"/>
    <w:qFormat/>
    <w:uiPriority w:val="0"/>
    <w:pPr>
      <w:widowControl w:val="0"/>
      <w:adjustRightInd/>
      <w:snapToGrid/>
      <w:spacing w:line="240" w:lineRule="auto"/>
    </w:pPr>
    <w:rPr>
      <w:rFonts w:eastAsia="宋体"/>
      <w:b/>
      <w:kern w:val="2"/>
      <w:sz w:val="21"/>
      <w:lang w:eastAsia="zh-CN"/>
    </w:rPr>
  </w:style>
  <w:style w:type="paragraph" w:styleId="57">
    <w:name w:val="Body Text First Indent"/>
    <w:basedOn w:val="22"/>
    <w:qFormat/>
    <w:uiPriority w:val="0"/>
    <w:pPr>
      <w:spacing w:line="360" w:lineRule="auto"/>
      <w:ind w:firstLine="420"/>
    </w:pPr>
    <w:rPr>
      <w:rFonts w:ascii="宋体" w:hAnsi="宋体"/>
      <w:sz w:val="24"/>
    </w:rPr>
  </w:style>
  <w:style w:type="paragraph" w:styleId="58">
    <w:name w:val="Body Text First Indent 2"/>
    <w:basedOn w:val="23"/>
    <w:qFormat/>
    <w:uiPriority w:val="0"/>
    <w:pPr>
      <w:spacing w:after="120" w:line="240" w:lineRule="auto"/>
      <w:ind w:left="420" w:leftChars="200" w:firstLine="420" w:firstLineChars="200"/>
    </w:pPr>
    <w:rPr>
      <w:sz w:val="21"/>
    </w:rPr>
  </w:style>
  <w:style w:type="table" w:styleId="60">
    <w:name w:val="Table Grid"/>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0"/>
    <w:rPr>
      <w:b/>
    </w:rPr>
  </w:style>
  <w:style w:type="character" w:styleId="63">
    <w:name w:val="page number"/>
    <w:basedOn w:val="61"/>
    <w:qFormat/>
    <w:uiPriority w:val="0"/>
  </w:style>
  <w:style w:type="character" w:styleId="64">
    <w:name w:val="FollowedHyperlink"/>
    <w:qFormat/>
    <w:uiPriority w:val="0"/>
    <w:rPr>
      <w:color w:val="800080"/>
      <w:u w:val="single"/>
    </w:rPr>
  </w:style>
  <w:style w:type="character" w:styleId="65">
    <w:name w:val="Emphasis"/>
    <w:basedOn w:val="61"/>
    <w:qFormat/>
    <w:uiPriority w:val="0"/>
    <w:rPr>
      <w:i/>
    </w:rPr>
  </w:style>
  <w:style w:type="character" w:styleId="66">
    <w:name w:val="Hyperlink"/>
    <w:qFormat/>
    <w:uiPriority w:val="99"/>
    <w:rPr>
      <w:color w:val="0000FF"/>
      <w:u w:val="single"/>
    </w:rPr>
  </w:style>
  <w:style w:type="character" w:styleId="67">
    <w:name w:val="annotation reference"/>
    <w:semiHidden/>
    <w:qFormat/>
    <w:uiPriority w:val="0"/>
    <w:rPr>
      <w:sz w:val="21"/>
    </w:rPr>
  </w:style>
  <w:style w:type="character" w:styleId="68">
    <w:name w:val="footnote reference"/>
    <w:semiHidden/>
    <w:qFormat/>
    <w:uiPriority w:val="0"/>
    <w:rPr>
      <w:position w:val="6"/>
      <w:sz w:val="14"/>
      <w:vertAlign w:val="superscript"/>
    </w:rPr>
  </w:style>
  <w:style w:type="character" w:customStyle="1" w:styleId="69">
    <w:name w:val="标题 1 字符"/>
    <w:link w:val="2"/>
    <w:qFormat/>
    <w:uiPriority w:val="0"/>
    <w:rPr>
      <w:rFonts w:eastAsia="黑体"/>
      <w:sz w:val="44"/>
    </w:rPr>
  </w:style>
  <w:style w:type="character" w:customStyle="1" w:styleId="70">
    <w:name w:val="标题 2 字符"/>
    <w:link w:val="3"/>
    <w:qFormat/>
    <w:uiPriority w:val="0"/>
    <w:rPr>
      <w:rFonts w:ascii="宋体" w:hAnsi="宋体" w:eastAsia="宋体"/>
      <w:b/>
      <w:kern w:val="2"/>
      <w:sz w:val="28"/>
    </w:rPr>
  </w:style>
  <w:style w:type="character" w:customStyle="1" w:styleId="71">
    <w:name w:val="日期 字符"/>
    <w:link w:val="32"/>
    <w:qFormat/>
    <w:uiPriority w:val="0"/>
    <w:rPr>
      <w:kern w:val="2"/>
      <w:sz w:val="28"/>
    </w:rPr>
  </w:style>
  <w:style w:type="character" w:customStyle="1" w:styleId="72">
    <w:name w:val="页脚 字符"/>
    <w:link w:val="35"/>
    <w:qFormat/>
    <w:uiPriority w:val="99"/>
    <w:rPr>
      <w:kern w:val="2"/>
      <w:sz w:val="18"/>
    </w:rPr>
  </w:style>
  <w:style w:type="character" w:customStyle="1" w:styleId="73">
    <w:name w:val="页眉 字符"/>
    <w:link w:val="36"/>
    <w:qFormat/>
    <w:uiPriority w:val="99"/>
    <w:rPr>
      <w:kern w:val="2"/>
      <w:sz w:val="18"/>
    </w:rPr>
  </w:style>
  <w:style w:type="character" w:customStyle="1" w:styleId="74">
    <w:name w:val="HTML 预设格式 字符"/>
    <w:link w:val="51"/>
    <w:qFormat/>
    <w:uiPriority w:val="99"/>
    <w:rPr>
      <w:rFonts w:ascii="宋体" w:hAnsi="宋体" w:cs="宋体"/>
      <w:sz w:val="24"/>
      <w:szCs w:val="24"/>
    </w:rPr>
  </w:style>
  <w:style w:type="character" w:customStyle="1" w:styleId="75">
    <w:name w:val="标题 字符"/>
    <w:link w:val="55"/>
    <w:qFormat/>
    <w:uiPriority w:val="0"/>
    <w:rPr>
      <w:rFonts w:ascii="Arial" w:hAnsi="Arial"/>
      <w:b/>
      <w:smallCaps/>
      <w:kern w:val="28"/>
      <w:sz w:val="36"/>
      <w:lang w:eastAsia="en-US"/>
    </w:rPr>
  </w:style>
  <w:style w:type="paragraph" w:customStyle="1" w:styleId="76">
    <w:name w:val="标题 5（有编号）（绿盟科技）"/>
    <w:basedOn w:val="77"/>
    <w:next w:val="78"/>
    <w:qFormat/>
    <w:uiPriority w:val="0"/>
    <w:pPr>
      <w:keepNext/>
      <w:keepLines/>
      <w:numPr>
        <w:ilvl w:val="4"/>
        <w:numId w:val="6"/>
      </w:numPr>
      <w:spacing w:before="280" w:after="156" w:line="377" w:lineRule="auto"/>
      <w:jc w:val="left"/>
      <w:outlineLvl w:val="4"/>
    </w:pPr>
    <w:rPr>
      <w:rFonts w:ascii="Arial" w:hAnsi="Arial" w:eastAsia="黑体"/>
      <w:b/>
      <w:kern w:val="0"/>
      <w:szCs w:val="28"/>
    </w:rPr>
  </w:style>
  <w:style w:type="paragraph" w:customStyle="1" w:styleId="77">
    <w:name w:val="正文1"/>
    <w:basedOn w:val="1"/>
    <w:next w:val="1"/>
    <w:qFormat/>
    <w:uiPriority w:val="0"/>
    <w:pPr>
      <w:spacing w:line="300" w:lineRule="auto"/>
      <w:ind w:firstLine="200" w:firstLineChars="200"/>
    </w:pPr>
    <w:rPr>
      <w:sz w:val="24"/>
    </w:rPr>
  </w:style>
  <w:style w:type="paragraph" w:customStyle="1" w:styleId="78">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79">
    <w:name w:val="BodyText"/>
    <w:basedOn w:val="1"/>
    <w:next w:val="1"/>
    <w:qFormat/>
    <w:uiPriority w:val="0"/>
    <w:pPr>
      <w:widowControl/>
      <w:spacing w:after="120" w:line="259" w:lineRule="auto"/>
      <w:textAlignment w:val="baseline"/>
    </w:pPr>
    <w:rPr>
      <w:rFonts w:ascii="Calibri" w:hAnsi="Calibri"/>
    </w:rPr>
  </w:style>
  <w:style w:type="paragraph" w:customStyle="1" w:styleId="80">
    <w:name w:val="常用样式（方正仿宋简）"/>
    <w:basedOn w:val="1"/>
    <w:qFormat/>
    <w:uiPriority w:val="0"/>
    <w:pPr>
      <w:spacing w:line="560" w:lineRule="exact"/>
      <w:ind w:firstLine="640" w:firstLineChars="200"/>
    </w:pPr>
    <w:rPr>
      <w:rFonts w:eastAsia="方正仿宋简体"/>
      <w:sz w:val="32"/>
    </w:rPr>
  </w:style>
  <w:style w:type="character" w:customStyle="1" w:styleId="81">
    <w:name w:val="Char Char7"/>
    <w:qFormat/>
    <w:uiPriority w:val="0"/>
    <w:rPr>
      <w:rFonts w:ascii="宋体" w:hAnsi="宋体" w:eastAsia="宋体"/>
      <w:kern w:val="2"/>
      <w:sz w:val="28"/>
    </w:rPr>
  </w:style>
  <w:style w:type="character" w:customStyle="1" w:styleId="82">
    <w:name w:val="标书正文:  0.74 厘米 Char1"/>
    <w:qFormat/>
    <w:uiPriority w:val="0"/>
    <w:rPr>
      <w:rFonts w:eastAsia="宋体"/>
      <w:kern w:val="2"/>
      <w:sz w:val="24"/>
      <w:lang w:val="en-US" w:eastAsia="zh-CN"/>
    </w:rPr>
  </w:style>
  <w:style w:type="paragraph" w:customStyle="1" w:styleId="83">
    <w:name w:val="标书正文:  0.74 厘米"/>
    <w:basedOn w:val="1"/>
    <w:qFormat/>
    <w:uiPriority w:val="0"/>
    <w:pPr>
      <w:snapToGrid w:val="0"/>
      <w:spacing w:line="360" w:lineRule="auto"/>
      <w:ind w:firstLine="420"/>
    </w:pPr>
    <w:rPr>
      <w:sz w:val="24"/>
    </w:rPr>
  </w:style>
  <w:style w:type="character" w:customStyle="1" w:styleId="84">
    <w:name w:val="v151"/>
    <w:qFormat/>
    <w:uiPriority w:val="0"/>
    <w:rPr>
      <w:sz w:val="18"/>
    </w:rPr>
  </w:style>
  <w:style w:type="character" w:customStyle="1" w:styleId="85">
    <w:name w:val="样式 宋体"/>
    <w:qFormat/>
    <w:uiPriority w:val="0"/>
    <w:rPr>
      <w:rFonts w:ascii="宋体" w:hAnsi="宋体" w:eastAsia="宋体"/>
      <w:sz w:val="28"/>
    </w:rPr>
  </w:style>
  <w:style w:type="character" w:customStyle="1" w:styleId="86">
    <w:name w:val="top-det1"/>
    <w:qFormat/>
    <w:uiPriority w:val="0"/>
    <w:rPr>
      <w:b/>
      <w:color w:val="000000"/>
    </w:rPr>
  </w:style>
  <w:style w:type="character" w:customStyle="1" w:styleId="87">
    <w:name w:val="Char Char6"/>
    <w:qFormat/>
    <w:uiPriority w:val="0"/>
    <w:rPr>
      <w:rFonts w:ascii="仿宋_GB2312" w:eastAsia="仿宋_GB2312"/>
      <w:kern w:val="2"/>
      <w:sz w:val="32"/>
    </w:rPr>
  </w:style>
  <w:style w:type="character" w:customStyle="1" w:styleId="88">
    <w:name w:val="content-white1"/>
    <w:qFormat/>
    <w:uiPriority w:val="0"/>
    <w:rPr>
      <w:color w:val="auto"/>
      <w:sz w:val="18"/>
      <w:u w:val="none"/>
    </w:rPr>
  </w:style>
  <w:style w:type="character" w:customStyle="1" w:styleId="89">
    <w:name w:val="font1"/>
    <w:qFormat/>
    <w:uiPriority w:val="0"/>
    <w:rPr>
      <w:color w:val="000000"/>
      <w:sz w:val="18"/>
    </w:rPr>
  </w:style>
  <w:style w:type="character" w:customStyle="1" w:styleId="90">
    <w:name w:val="正文 + 三号 Char"/>
    <w:qFormat/>
    <w:uiPriority w:val="0"/>
    <w:rPr>
      <w:rFonts w:eastAsia="宋体"/>
      <w:kern w:val="2"/>
      <w:sz w:val="21"/>
      <w:lang w:val="en-US" w:eastAsia="zh-CN"/>
    </w:rPr>
  </w:style>
  <w:style w:type="paragraph" w:customStyle="1" w:styleId="91">
    <w:name w:val="正文 + 三号"/>
    <w:basedOn w:val="1"/>
    <w:qFormat/>
    <w:uiPriority w:val="0"/>
    <w:rPr>
      <w:sz w:val="21"/>
    </w:rPr>
  </w:style>
  <w:style w:type="character" w:customStyle="1" w:styleId="92">
    <w:name w:val="Table Text Char Char Char Char"/>
    <w:qFormat/>
    <w:uiPriority w:val="0"/>
    <w:rPr>
      <w:rFonts w:ascii="Arial" w:hAnsi="Arial"/>
      <w:kern w:val="2"/>
      <w:sz w:val="18"/>
      <w:lang w:val="en-US" w:eastAsia="zh-CN" w:bidi="ar-SA"/>
    </w:rPr>
  </w:style>
  <w:style w:type="paragraph" w:customStyle="1" w:styleId="93">
    <w:name w:val="Table Text Char Char Char"/>
    <w:qFormat/>
    <w:uiPriority w:val="0"/>
    <w:pPr>
      <w:snapToGrid w:val="0"/>
      <w:spacing w:before="80" w:after="80"/>
    </w:pPr>
    <w:rPr>
      <w:rFonts w:ascii="Arial" w:hAnsi="Arial" w:eastAsia="宋体" w:cs="Times New Roman"/>
      <w:kern w:val="2"/>
      <w:sz w:val="18"/>
      <w:lang w:val="en-US" w:eastAsia="zh-CN" w:bidi="ar-SA"/>
    </w:rPr>
  </w:style>
  <w:style w:type="character" w:customStyle="1" w:styleId="94">
    <w:name w:val="Table Text Char1 Char"/>
    <w:qFormat/>
    <w:uiPriority w:val="0"/>
    <w:rPr>
      <w:rFonts w:ascii="Arial" w:hAnsi="Arial"/>
      <w:kern w:val="2"/>
      <w:sz w:val="18"/>
      <w:lang w:val="en-US" w:eastAsia="zh-CN" w:bidi="ar-SA"/>
    </w:rPr>
  </w:style>
  <w:style w:type="paragraph" w:customStyle="1" w:styleId="95">
    <w:name w:val="Table Text Char1"/>
    <w:qFormat/>
    <w:uiPriority w:val="0"/>
    <w:pPr>
      <w:snapToGrid w:val="0"/>
      <w:spacing w:before="80" w:after="80"/>
    </w:pPr>
    <w:rPr>
      <w:rFonts w:ascii="Arial" w:hAnsi="Arial" w:eastAsia="宋体" w:cs="Times New Roman"/>
      <w:kern w:val="2"/>
      <w:sz w:val="18"/>
      <w:lang w:val="en-US" w:eastAsia="zh-CN" w:bidi="ar-SA"/>
    </w:rPr>
  </w:style>
  <w:style w:type="character" w:customStyle="1" w:styleId="96">
    <w:name w:val="未命名11"/>
    <w:qFormat/>
    <w:uiPriority w:val="0"/>
    <w:rPr>
      <w:color w:val="77FFFF"/>
      <w:sz w:val="24"/>
    </w:rPr>
  </w:style>
  <w:style w:type="character" w:customStyle="1" w:styleId="97">
    <w:name w:val="Char Char5"/>
    <w:qFormat/>
    <w:uiPriority w:val="0"/>
    <w:rPr>
      <w:rFonts w:ascii="Arial" w:hAnsi="Arial" w:eastAsia="宋体"/>
      <w:b/>
      <w:smallCaps/>
      <w:kern w:val="28"/>
      <w:sz w:val="36"/>
      <w:lang w:val="en-US" w:eastAsia="en-US"/>
    </w:rPr>
  </w:style>
  <w:style w:type="character" w:customStyle="1" w:styleId="98">
    <w:name w:val="Char Char4"/>
    <w:qFormat/>
    <w:uiPriority w:val="0"/>
    <w:rPr>
      <w:rFonts w:eastAsia="宋体"/>
      <w:b/>
      <w:kern w:val="2"/>
      <w:sz w:val="21"/>
      <w:lang w:val="en-US" w:eastAsia="zh-CN"/>
    </w:rPr>
  </w:style>
  <w:style w:type="character" w:customStyle="1" w:styleId="99">
    <w:name w:val="Char Char3"/>
    <w:qFormat/>
    <w:uiPriority w:val="0"/>
    <w:rPr>
      <w:rFonts w:eastAsia="宋体"/>
      <w:kern w:val="2"/>
      <w:sz w:val="18"/>
      <w:lang w:val="en-US" w:eastAsia="zh-CN"/>
    </w:rPr>
  </w:style>
  <w:style w:type="character" w:customStyle="1" w:styleId="100">
    <w:name w:val="Table Heading Char Char"/>
    <w:qFormat/>
    <w:uiPriority w:val="0"/>
    <w:rPr>
      <w:rFonts w:ascii="Arial" w:hAnsi="Arial" w:eastAsia="黑体"/>
      <w:kern w:val="2"/>
      <w:sz w:val="18"/>
      <w:lang w:val="en-US" w:eastAsia="zh-CN"/>
    </w:rPr>
  </w:style>
  <w:style w:type="character" w:customStyle="1" w:styleId="101">
    <w:name w:val="crowed11"/>
    <w:qFormat/>
    <w:uiPriority w:val="0"/>
    <w:rPr>
      <w:rFonts w:hint="default"/>
      <w:sz w:val="24"/>
    </w:rPr>
  </w:style>
  <w:style w:type="character" w:customStyle="1" w:styleId="102">
    <w:name w:val="Char Char2"/>
    <w:qFormat/>
    <w:uiPriority w:val="0"/>
    <w:rPr>
      <w:rFonts w:eastAsia="宋体"/>
      <w:kern w:val="2"/>
      <w:sz w:val="18"/>
      <w:lang w:val="en-US" w:eastAsia="zh-CN"/>
    </w:rPr>
  </w:style>
  <w:style w:type="character" w:customStyle="1" w:styleId="103">
    <w:name w:val="Table Text Char"/>
    <w:qFormat/>
    <w:uiPriority w:val="0"/>
    <w:rPr>
      <w:rFonts w:ascii="Arial" w:hAnsi="Arial"/>
      <w:kern w:val="2"/>
      <w:sz w:val="18"/>
      <w:lang w:val="en-US" w:eastAsia="zh-CN" w:bidi="ar-SA"/>
    </w:rPr>
  </w:style>
  <w:style w:type="paragraph" w:customStyle="1" w:styleId="104">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105">
    <w:name w:val="正文文本缩进 21"/>
    <w:basedOn w:val="1"/>
    <w:qFormat/>
    <w:uiPriority w:val="0"/>
    <w:pPr>
      <w:adjustRightInd w:val="0"/>
      <w:spacing w:before="120"/>
      <w:ind w:firstLine="420"/>
      <w:textAlignment w:val="baseline"/>
    </w:pPr>
    <w:rPr>
      <w:sz w:val="24"/>
    </w:rPr>
  </w:style>
  <w:style w:type="paragraph" w:customStyle="1" w:styleId="106">
    <w:name w:val="Item Step in Table"/>
    <w:qFormat/>
    <w:uiPriority w:val="0"/>
    <w:pPr>
      <w:numPr>
        <w:ilvl w:val="0"/>
        <w:numId w:val="7"/>
      </w:numPr>
      <w:spacing w:before="40" w:after="40"/>
      <w:jc w:val="both"/>
    </w:pPr>
    <w:rPr>
      <w:rFonts w:ascii="Arial" w:hAnsi="Arial" w:eastAsia="宋体" w:cs="Times New Roman"/>
      <w:sz w:val="18"/>
      <w:lang w:val="en-US" w:eastAsia="zh-CN" w:bidi="ar-SA"/>
    </w:rPr>
  </w:style>
  <w:style w:type="paragraph" w:customStyle="1" w:styleId="107">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08">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09">
    <w:name w:val="关键词"/>
    <w:basedOn w:val="1"/>
    <w:next w:val="1"/>
    <w:qFormat/>
    <w:uiPriority w:val="0"/>
    <w:pPr>
      <w:spacing w:line="360" w:lineRule="auto"/>
    </w:pPr>
    <w:rPr>
      <w:rFonts w:eastAsia="黑体"/>
      <w:sz w:val="20"/>
    </w:rPr>
  </w:style>
  <w:style w:type="paragraph" w:customStyle="1" w:styleId="110">
    <w:name w:val="样式 标题 1 + 居中 段前: 6 磅 段后: 6 磅 行距: 1.5 倍行距"/>
    <w:basedOn w:val="2"/>
    <w:qFormat/>
    <w:uiPriority w:val="0"/>
    <w:pPr>
      <w:keepLines/>
      <w:tabs>
        <w:tab w:val="clear" w:pos="3360"/>
      </w:tabs>
      <w:adjustRightInd w:val="0"/>
      <w:spacing w:beforeLines="0" w:line="360" w:lineRule="auto"/>
    </w:pPr>
    <w:rPr>
      <w:rFonts w:eastAsia="宋体"/>
      <w:b/>
      <w:kern w:val="44"/>
      <w:sz w:val="32"/>
    </w:rPr>
  </w:style>
  <w:style w:type="paragraph" w:customStyle="1" w:styleId="111">
    <w:name w:val="正文4"/>
    <w:basedOn w:val="1"/>
    <w:qFormat/>
    <w:uiPriority w:val="0"/>
    <w:pPr>
      <w:tabs>
        <w:tab w:val="left" w:pos="1275"/>
      </w:tabs>
      <w:spacing w:before="60" w:after="60" w:line="360" w:lineRule="auto"/>
      <w:ind w:left="820" w:leftChars="400" w:hanging="705"/>
    </w:pPr>
    <w:rPr>
      <w:sz w:val="24"/>
    </w:rPr>
  </w:style>
  <w:style w:type="paragraph" w:customStyle="1" w:styleId="112">
    <w:name w:val="样式 正文缩进正文（首行缩进两字）表正文正文非缩进特点标题4段1 + 首行缩进:  2 字符"/>
    <w:basedOn w:val="15"/>
    <w:qFormat/>
    <w:uiPriority w:val="0"/>
    <w:pPr>
      <w:ind w:firstLine="480" w:firstLineChars="200"/>
    </w:pPr>
  </w:style>
  <w:style w:type="paragraph" w:customStyle="1" w:styleId="113">
    <w:name w:val="内容标题"/>
    <w:basedOn w:val="17"/>
    <w:qFormat/>
    <w:uiPriority w:val="0"/>
    <w:rPr>
      <w:rFonts w:ascii="Tahoma" w:hAnsi="Tahoma"/>
      <w:sz w:val="24"/>
    </w:rPr>
  </w:style>
  <w:style w:type="paragraph" w:customStyle="1" w:styleId="114">
    <w:name w:val="首行缩进"/>
    <w:basedOn w:val="1"/>
    <w:qFormat/>
    <w:uiPriority w:val="0"/>
    <w:pPr>
      <w:spacing w:line="360" w:lineRule="auto"/>
      <w:ind w:firstLine="420" w:firstLineChars="200"/>
    </w:pPr>
    <w:rPr>
      <w:sz w:val="21"/>
    </w:rPr>
  </w:style>
  <w:style w:type="paragraph" w:customStyle="1" w:styleId="115">
    <w:name w:val="样式1"/>
    <w:basedOn w:val="5"/>
    <w:qFormat/>
    <w:uiPriority w:val="0"/>
    <w:pPr>
      <w:spacing w:before="500" w:after="260" w:line="560" w:lineRule="atLeast"/>
    </w:pPr>
  </w:style>
  <w:style w:type="paragraph" w:customStyle="1" w:styleId="116">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17">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1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19">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20">
    <w:name w:val="表号"/>
    <w:basedOn w:val="1"/>
    <w:qFormat/>
    <w:uiPriority w:val="0"/>
    <w:pPr>
      <w:numPr>
        <w:ilvl w:val="0"/>
        <w:numId w:val="8"/>
      </w:numPr>
      <w:tabs>
        <w:tab w:val="left" w:pos="648"/>
      </w:tabs>
      <w:autoSpaceDE w:val="0"/>
      <w:autoSpaceDN w:val="0"/>
      <w:adjustRightInd w:val="0"/>
      <w:spacing w:before="210" w:after="210"/>
      <w:ind w:left="425" w:hanging="137"/>
      <w:jc w:val="center"/>
    </w:pPr>
    <w:rPr>
      <w:kern w:val="0"/>
      <w:sz w:val="21"/>
      <w:lang w:eastAsia="en-US"/>
    </w:rPr>
  </w:style>
  <w:style w:type="paragraph" w:customStyle="1" w:styleId="121">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2">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23">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24">
    <w:name w:val="Char Char Char Char Char"/>
    <w:basedOn w:val="1"/>
    <w:qFormat/>
    <w:uiPriority w:val="0"/>
    <w:pPr>
      <w:numPr>
        <w:ilvl w:val="0"/>
        <w:numId w:val="9"/>
      </w:numPr>
    </w:pPr>
    <w:rPr>
      <w:rFonts w:ascii="Tahoma" w:hAnsi="Tahoma"/>
      <w:sz w:val="24"/>
    </w:rPr>
  </w:style>
  <w:style w:type="paragraph" w:customStyle="1" w:styleId="125">
    <w:name w:val="样式3"/>
    <w:basedOn w:val="2"/>
    <w:next w:val="2"/>
    <w:qFormat/>
    <w:uiPriority w:val="0"/>
    <w:pPr>
      <w:keepLines/>
      <w:tabs>
        <w:tab w:val="clear" w:pos="3360"/>
      </w:tabs>
      <w:adjustRightInd w:val="0"/>
      <w:spacing w:beforeLines="0" w:afterLines="0" w:line="576" w:lineRule="auto"/>
      <w:jc w:val="both"/>
    </w:pPr>
    <w:rPr>
      <w:b/>
      <w:kern w:val="44"/>
    </w:rPr>
  </w:style>
  <w:style w:type="paragraph" w:customStyle="1" w:styleId="126">
    <w:name w:val="正文表格"/>
    <w:basedOn w:val="1"/>
    <w:qFormat/>
    <w:uiPriority w:val="0"/>
    <w:pPr>
      <w:adjustRightInd w:val="0"/>
      <w:spacing w:before="40" w:after="40"/>
    </w:pPr>
    <w:rPr>
      <w:sz w:val="24"/>
    </w:rPr>
  </w:style>
  <w:style w:type="paragraph" w:customStyle="1" w:styleId="127">
    <w:name w:val="Note"/>
    <w:basedOn w:val="1"/>
    <w:qFormat/>
    <w:uiPriority w:val="0"/>
    <w:pPr>
      <w:pBdr>
        <w:top w:val="single" w:color="auto" w:sz="12" w:space="3"/>
        <w:bottom w:val="single" w:color="auto" w:sz="12" w:space="3"/>
      </w:pBdr>
      <w:spacing w:line="360" w:lineRule="auto"/>
    </w:pPr>
    <w:rPr>
      <w:sz w:val="24"/>
    </w:rPr>
  </w:style>
  <w:style w:type="paragraph" w:customStyle="1" w:styleId="128">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29">
    <w:name w:val="标题3——2"/>
    <w:basedOn w:val="4"/>
    <w:next w:val="57"/>
    <w:qFormat/>
    <w:uiPriority w:val="0"/>
    <w:pPr>
      <w:tabs>
        <w:tab w:val="left" w:pos="1280"/>
        <w:tab w:val="right" w:leader="dot" w:pos="8777"/>
      </w:tabs>
      <w:spacing w:beforeLines="100" w:line="240" w:lineRule="auto"/>
      <w:ind w:left="851" w:hanging="851"/>
      <w:jc w:val="both"/>
      <w:outlineLvl w:val="9"/>
    </w:pPr>
    <w:rPr>
      <w:rFonts w:ascii="黑体" w:hAnsi="宋体" w:eastAsia="黑体"/>
      <w:sz w:val="30"/>
    </w:rPr>
  </w:style>
  <w:style w:type="character" w:customStyle="1" w:styleId="130">
    <w:name w:val="Char Char"/>
    <w:qFormat/>
    <w:uiPriority w:val="0"/>
    <w:rPr>
      <w:rFonts w:ascii="宋体" w:hAnsi="宋体" w:eastAsia="宋体"/>
      <w:kern w:val="2"/>
      <w:sz w:val="24"/>
      <w:lang w:val="en-US" w:eastAsia="zh-CN" w:bidi="ar-SA"/>
    </w:rPr>
  </w:style>
  <w:style w:type="paragraph" w:customStyle="1" w:styleId="131">
    <w:name w:val="IN Feature"/>
    <w:next w:val="132"/>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32">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33">
    <w:name w:val="标题无"/>
    <w:basedOn w:val="1"/>
    <w:qFormat/>
    <w:uiPriority w:val="0"/>
    <w:pPr>
      <w:spacing w:line="360" w:lineRule="auto"/>
    </w:pPr>
    <w:rPr>
      <w:sz w:val="24"/>
    </w:rPr>
  </w:style>
  <w:style w:type="paragraph" w:customStyle="1" w:styleId="134">
    <w:name w:val="样式4"/>
    <w:basedOn w:val="5"/>
    <w:qFormat/>
    <w:uiPriority w:val="0"/>
    <w:pPr>
      <w:numPr>
        <w:ilvl w:val="0"/>
        <w:numId w:val="0"/>
      </w:numPr>
      <w:adjustRightInd w:val="0"/>
      <w:snapToGrid w:val="0"/>
      <w:spacing w:before="280" w:line="374" w:lineRule="auto"/>
    </w:pPr>
  </w:style>
  <w:style w:type="paragraph" w:customStyle="1" w:styleId="135">
    <w:name w:val="摘要"/>
    <w:basedOn w:val="1"/>
    <w:next w:val="3"/>
    <w:qFormat/>
    <w:uiPriority w:val="0"/>
    <w:pPr>
      <w:spacing w:line="360" w:lineRule="auto"/>
    </w:pPr>
    <w:rPr>
      <w:rFonts w:eastAsia="黑体"/>
      <w:sz w:val="20"/>
    </w:rPr>
  </w:style>
  <w:style w:type="paragraph" w:customStyle="1" w:styleId="136">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37">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38">
    <w:name w:val="没有缩进（为图形使用）"/>
    <w:basedOn w:val="1"/>
    <w:qFormat/>
    <w:uiPriority w:val="0"/>
    <w:pPr>
      <w:spacing w:before="120" w:after="120" w:line="360" w:lineRule="auto"/>
    </w:pPr>
    <w:rPr>
      <w:sz w:val="24"/>
    </w:rPr>
  </w:style>
  <w:style w:type="paragraph" w:customStyle="1" w:styleId="139">
    <w:name w:val="样式2"/>
    <w:basedOn w:val="5"/>
    <w:qFormat/>
    <w:uiPriority w:val="0"/>
    <w:pPr>
      <w:numPr>
        <w:ilvl w:val="0"/>
        <w:numId w:val="10"/>
      </w:numPr>
      <w:spacing w:line="400" w:lineRule="exact"/>
      <w:jc w:val="center"/>
      <w:outlineLvl w:val="0"/>
    </w:pPr>
    <w:rPr>
      <w:b w:val="0"/>
      <w:sz w:val="44"/>
    </w:rPr>
  </w:style>
  <w:style w:type="paragraph" w:customStyle="1" w:styleId="140">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41">
    <w:name w:val="Char Char Char"/>
    <w:basedOn w:val="1"/>
    <w:qFormat/>
    <w:uiPriority w:val="0"/>
    <w:rPr>
      <w:rFonts w:ascii="Tahoma" w:hAnsi="Tahoma"/>
      <w:sz w:val="24"/>
    </w:rPr>
  </w:style>
  <w:style w:type="paragraph" w:customStyle="1" w:styleId="142">
    <w:name w:val="正文字缩2字"/>
    <w:basedOn w:val="1"/>
    <w:qFormat/>
    <w:uiPriority w:val="0"/>
    <w:pPr>
      <w:spacing w:before="60" w:after="60" w:line="360" w:lineRule="auto"/>
      <w:ind w:left="200" w:leftChars="200" w:firstLine="200" w:firstLineChars="200"/>
    </w:pPr>
    <w:rPr>
      <w:sz w:val="24"/>
    </w:rPr>
  </w:style>
  <w:style w:type="paragraph" w:customStyle="1" w:styleId="143">
    <w:name w:val="默认段落字体 Para Char Char Char Char Char Char Char"/>
    <w:basedOn w:val="1"/>
    <w:qFormat/>
    <w:uiPriority w:val="0"/>
    <w:rPr>
      <w:rFonts w:ascii="Tahoma" w:hAnsi="Tahoma"/>
      <w:sz w:val="24"/>
    </w:rPr>
  </w:style>
  <w:style w:type="paragraph" w:customStyle="1" w:styleId="144">
    <w:name w:val="章标题"/>
    <w:next w:val="1"/>
    <w:qFormat/>
    <w:uiPriority w:val="0"/>
    <w:pPr>
      <w:numPr>
        <w:ilvl w:val="1"/>
        <w:numId w:val="11"/>
      </w:numPr>
      <w:spacing w:beforeLines="50" w:afterLines="50"/>
      <w:ind w:left="0"/>
      <w:jc w:val="both"/>
      <w:outlineLvl w:val="1"/>
    </w:pPr>
    <w:rPr>
      <w:rFonts w:ascii="黑体" w:hAnsi="Times New Roman" w:eastAsia="黑体" w:cs="Times New Roman"/>
      <w:sz w:val="24"/>
      <w:lang w:val="en-US" w:eastAsia="zh-CN" w:bidi="ar-SA"/>
    </w:rPr>
  </w:style>
  <w:style w:type="paragraph" w:customStyle="1" w:styleId="14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46">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47">
    <w:name w:val="样式 宋体 五号 行距: 单倍行距"/>
    <w:basedOn w:val="1"/>
    <w:qFormat/>
    <w:uiPriority w:val="0"/>
    <w:pPr>
      <w:adjustRightInd w:val="0"/>
      <w:jc w:val="left"/>
    </w:pPr>
    <w:rPr>
      <w:rFonts w:ascii="宋体" w:hAnsi="宋体"/>
      <w:kern w:val="0"/>
      <w:sz w:val="21"/>
    </w:rPr>
  </w:style>
  <w:style w:type="paragraph" w:customStyle="1" w:styleId="148">
    <w:name w:val="表头样式"/>
    <w:basedOn w:val="1"/>
    <w:qFormat/>
    <w:uiPriority w:val="0"/>
    <w:pPr>
      <w:autoSpaceDE w:val="0"/>
      <w:autoSpaceDN w:val="0"/>
      <w:adjustRightInd w:val="0"/>
      <w:spacing w:line="360" w:lineRule="auto"/>
      <w:jc w:val="left"/>
    </w:pPr>
    <w:rPr>
      <w:b/>
      <w:kern w:val="0"/>
      <w:sz w:val="21"/>
    </w:rPr>
  </w:style>
  <w:style w:type="paragraph" w:customStyle="1" w:styleId="149">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50">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51">
    <w:name w:val="样式 标题 6第五层条 + 三号 段前: 0.5 行"/>
    <w:basedOn w:val="7"/>
    <w:qFormat/>
    <w:uiPriority w:val="0"/>
    <w:pPr>
      <w:widowControl/>
      <w:adjustRightInd/>
      <w:snapToGrid/>
      <w:spacing w:beforeLines="50"/>
      <w:jc w:val="left"/>
    </w:pPr>
    <w:rPr>
      <w:snapToGrid w:val="0"/>
      <w:kern w:val="24"/>
      <w:sz w:val="28"/>
    </w:rPr>
  </w:style>
  <w:style w:type="paragraph" w:customStyle="1" w:styleId="152">
    <w:name w:val="Title - Date"/>
    <w:basedOn w:val="55"/>
    <w:next w:val="1"/>
    <w:qFormat/>
    <w:uiPriority w:val="0"/>
    <w:pPr>
      <w:spacing w:before="240" w:after="720"/>
    </w:pPr>
    <w:rPr>
      <w:sz w:val="28"/>
    </w:rPr>
  </w:style>
  <w:style w:type="paragraph" w:customStyle="1" w:styleId="153">
    <w:name w:val="文章正文"/>
    <w:basedOn w:val="1"/>
    <w:qFormat/>
    <w:uiPriority w:val="0"/>
    <w:pPr>
      <w:ind w:firstLine="560" w:firstLineChars="200"/>
    </w:pPr>
    <w:rPr>
      <w:rFonts w:ascii="仿宋_GB2312" w:hAnsi="宋体" w:eastAsia="仿宋_GB2312"/>
      <w:color w:val="000000"/>
    </w:rPr>
  </w:style>
  <w:style w:type="paragraph" w:customStyle="1" w:styleId="154">
    <w:name w:val="操作步骤"/>
    <w:basedOn w:val="1"/>
    <w:qFormat/>
    <w:uiPriority w:val="0"/>
    <w:pPr>
      <w:numPr>
        <w:ilvl w:val="0"/>
        <w:numId w:val="12"/>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55">
    <w:name w:val="Char Char 字元 字元 字元 Char Char Char Char"/>
    <w:basedOn w:val="1"/>
    <w:qFormat/>
    <w:uiPriority w:val="0"/>
    <w:pPr>
      <w:adjustRightInd w:val="0"/>
      <w:spacing w:line="360" w:lineRule="auto"/>
    </w:pPr>
    <w:rPr>
      <w:kern w:val="0"/>
      <w:sz w:val="24"/>
    </w:rPr>
  </w:style>
  <w:style w:type="paragraph" w:customStyle="1" w:styleId="15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57">
    <w:name w:val="Title - Revision"/>
    <w:basedOn w:val="55"/>
    <w:qFormat/>
    <w:uiPriority w:val="0"/>
    <w:pPr>
      <w:spacing w:before="720"/>
    </w:pPr>
  </w:style>
  <w:style w:type="paragraph" w:customStyle="1" w:styleId="158">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59">
    <w:name w:val="简单回函地址"/>
    <w:basedOn w:val="1"/>
    <w:qFormat/>
    <w:uiPriority w:val="0"/>
    <w:pPr>
      <w:adjustRightInd w:val="0"/>
      <w:snapToGrid w:val="0"/>
      <w:spacing w:line="360" w:lineRule="auto"/>
    </w:pPr>
    <w:rPr>
      <w:sz w:val="24"/>
    </w:rPr>
  </w:style>
  <w:style w:type="paragraph" w:customStyle="1" w:styleId="160">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61">
    <w:name w:val="Char1 Char Char Char"/>
    <w:basedOn w:val="1"/>
    <w:qFormat/>
    <w:uiPriority w:val="0"/>
    <w:rPr>
      <w:rFonts w:ascii="Tahoma" w:hAnsi="Tahoma"/>
      <w:sz w:val="24"/>
    </w:rPr>
  </w:style>
  <w:style w:type="paragraph" w:customStyle="1" w:styleId="162">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63">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64">
    <w:name w:val="Char"/>
    <w:basedOn w:val="1"/>
    <w:qFormat/>
    <w:uiPriority w:val="0"/>
    <w:pPr>
      <w:spacing w:line="240" w:lineRule="atLeast"/>
      <w:ind w:left="420" w:firstLine="420"/>
    </w:pPr>
    <w:rPr>
      <w:kern w:val="0"/>
      <w:sz w:val="21"/>
    </w:rPr>
  </w:style>
  <w:style w:type="paragraph" w:customStyle="1" w:styleId="165">
    <w:name w:val="标准正文"/>
    <w:basedOn w:val="23"/>
    <w:qFormat/>
    <w:uiPriority w:val="0"/>
    <w:pPr>
      <w:spacing w:before="60" w:after="60" w:line="360" w:lineRule="auto"/>
      <w:ind w:left="0" w:firstLine="482"/>
    </w:pPr>
    <w:rPr>
      <w:rFonts w:ascii="Arial" w:hAnsi="Arial"/>
      <w:sz w:val="24"/>
    </w:rPr>
  </w:style>
  <w:style w:type="paragraph" w:customStyle="1" w:styleId="166">
    <w:name w:val="Table Contents"/>
    <w:basedOn w:val="22"/>
    <w:qFormat/>
    <w:uiPriority w:val="0"/>
    <w:pPr>
      <w:suppressAutoHyphens/>
      <w:jc w:val="left"/>
    </w:pPr>
    <w:rPr>
      <w:rFonts w:ascii="Times New Roman" w:eastAsia="Times New Roman"/>
      <w:kern w:val="0"/>
      <w:sz w:val="24"/>
    </w:rPr>
  </w:style>
  <w:style w:type="paragraph" w:customStyle="1" w:styleId="167">
    <w:name w:val="标题2"/>
    <w:basedOn w:val="3"/>
    <w:qFormat/>
    <w:uiPriority w:val="0"/>
    <w:pPr>
      <w:keepNext w:val="0"/>
      <w:keepLines w:val="0"/>
      <w:ind w:firstLine="574" w:firstLineChars="196"/>
      <w:outlineLvl w:val="9"/>
    </w:pPr>
    <w:rPr>
      <w:spacing w:val="6"/>
      <w:u w:val="single"/>
    </w:rPr>
  </w:style>
  <w:style w:type="paragraph" w:customStyle="1" w:styleId="168">
    <w:name w:val="样式1xz"/>
    <w:basedOn w:val="1"/>
    <w:qFormat/>
    <w:uiPriority w:val="0"/>
    <w:pPr>
      <w:tabs>
        <w:tab w:val="left" w:pos="1050"/>
        <w:tab w:val="right" w:leader="dot" w:pos="8296"/>
      </w:tabs>
    </w:pPr>
    <w:rPr>
      <w:caps/>
      <w:spacing w:val="20"/>
      <w:sz w:val="24"/>
    </w:rPr>
  </w:style>
  <w:style w:type="paragraph" w:customStyle="1" w:styleId="169">
    <w:name w:val="样式 正文首行缩进 2 + 首行缩进:  2 字符"/>
    <w:basedOn w:val="1"/>
    <w:qFormat/>
    <w:uiPriority w:val="0"/>
    <w:pPr>
      <w:numPr>
        <w:ilvl w:val="0"/>
        <w:numId w:val="13"/>
      </w:numPr>
      <w:adjustRightInd w:val="0"/>
      <w:snapToGrid w:val="0"/>
      <w:spacing w:line="360" w:lineRule="auto"/>
    </w:pPr>
    <w:rPr>
      <w:rFonts w:ascii="Arial" w:hAnsi="Arial"/>
      <w:b/>
      <w:sz w:val="24"/>
    </w:rPr>
  </w:style>
  <w:style w:type="paragraph" w:customStyle="1" w:styleId="170">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71">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72">
    <w:name w:val="表头文本"/>
    <w:qFormat/>
    <w:uiPriority w:val="0"/>
    <w:pPr>
      <w:jc w:val="center"/>
    </w:pPr>
    <w:rPr>
      <w:rFonts w:ascii="Arial" w:hAnsi="Arial" w:eastAsia="宋体" w:cs="Times New Roman"/>
      <w:b/>
      <w:sz w:val="21"/>
      <w:lang w:val="en-US" w:eastAsia="zh-CN" w:bidi="ar-SA"/>
    </w:rPr>
  </w:style>
  <w:style w:type="paragraph" w:customStyle="1" w:styleId="173">
    <w:name w:val="段落正文"/>
    <w:basedOn w:val="1"/>
    <w:qFormat/>
    <w:uiPriority w:val="0"/>
    <w:pPr>
      <w:spacing w:beforeLines="50" w:line="360" w:lineRule="auto"/>
      <w:ind w:firstLine="200" w:firstLineChars="200"/>
    </w:pPr>
    <w:rPr>
      <w:spacing w:val="2"/>
      <w:sz w:val="24"/>
    </w:rPr>
  </w:style>
  <w:style w:type="paragraph" w:customStyle="1" w:styleId="174">
    <w:name w:val="可研正文"/>
    <w:basedOn w:val="22"/>
    <w:qFormat/>
    <w:uiPriority w:val="0"/>
    <w:pPr>
      <w:adjustRightInd w:val="0"/>
      <w:snapToGrid w:val="0"/>
      <w:spacing w:line="440" w:lineRule="exact"/>
      <w:ind w:firstLine="567"/>
    </w:pPr>
    <w:rPr>
      <w:sz w:val="28"/>
    </w:rPr>
  </w:style>
  <w:style w:type="paragraph" w:customStyle="1" w:styleId="175">
    <w:name w:val="二级列表"/>
    <w:basedOn w:val="173"/>
    <w:next w:val="173"/>
    <w:qFormat/>
    <w:uiPriority w:val="0"/>
    <w:pPr>
      <w:tabs>
        <w:tab w:val="left" w:pos="2120"/>
      </w:tabs>
      <w:ind w:firstLine="0" w:firstLineChars="0"/>
    </w:pPr>
    <w:rPr>
      <w:b/>
    </w:rPr>
  </w:style>
  <w:style w:type="paragraph" w:customStyle="1" w:styleId="176">
    <w:name w:val="Char1 Char Char Char1"/>
    <w:basedOn w:val="1"/>
    <w:qFormat/>
    <w:uiPriority w:val="0"/>
    <w:rPr>
      <w:rFonts w:ascii="Tahoma" w:hAnsi="Tahoma"/>
      <w:sz w:val="21"/>
    </w:rPr>
  </w:style>
  <w:style w:type="paragraph" w:customStyle="1" w:styleId="177">
    <w:name w:val="文本1"/>
    <w:basedOn w:val="1"/>
    <w:qFormat/>
    <w:uiPriority w:val="0"/>
    <w:pPr>
      <w:adjustRightInd w:val="0"/>
      <w:spacing w:line="312" w:lineRule="atLeast"/>
      <w:jc w:val="center"/>
      <w:textAlignment w:val="baseline"/>
    </w:pPr>
    <w:rPr>
      <w:kern w:val="0"/>
      <w:sz w:val="18"/>
    </w:rPr>
  </w:style>
  <w:style w:type="paragraph" w:customStyle="1" w:styleId="178">
    <w:name w:val="样式 标题 1章标题Heading 0Section HeadPIM 1H1h11st levell11H1..."/>
    <w:basedOn w:val="2"/>
    <w:qFormat/>
    <w:uiPriority w:val="0"/>
    <w:pPr>
      <w:keepLines/>
      <w:pageBreakBefore/>
      <w:tabs>
        <w:tab w:val="left" w:pos="432"/>
      </w:tabs>
      <w:autoSpaceDE w:val="0"/>
      <w:autoSpaceDN w:val="0"/>
      <w:adjustRightInd w:val="0"/>
      <w:spacing w:beforeLines="0" w:afterLines="0" w:line="578" w:lineRule="atLeast"/>
      <w:jc w:val="both"/>
      <w:textAlignment w:val="bottom"/>
    </w:pPr>
    <w:rPr>
      <w:rFonts w:ascii="宋体" w:hAnsi="宋体"/>
      <w:b/>
      <w:kern w:val="44"/>
      <w:sz w:val="36"/>
    </w:rPr>
  </w:style>
  <w:style w:type="paragraph" w:customStyle="1" w:styleId="179">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80">
    <w:name w:val="样式 行距: 1.5 倍行距1"/>
    <w:basedOn w:val="1"/>
    <w:qFormat/>
    <w:uiPriority w:val="0"/>
    <w:pPr>
      <w:snapToGrid w:val="0"/>
    </w:pPr>
    <w:rPr>
      <w:sz w:val="21"/>
    </w:rPr>
  </w:style>
  <w:style w:type="paragraph" w:customStyle="1" w:styleId="181">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2">
    <w:name w:val="附录3"/>
    <w:basedOn w:val="1"/>
    <w:next w:val="1"/>
    <w:qFormat/>
    <w:uiPriority w:val="0"/>
    <w:pPr>
      <w:tabs>
        <w:tab w:val="left" w:pos="851"/>
      </w:tabs>
      <w:ind w:left="425" w:hanging="425"/>
      <w:outlineLvl w:val="2"/>
    </w:pPr>
    <w:rPr>
      <w:rFonts w:eastAsia="黑体"/>
      <w:b/>
      <w:sz w:val="32"/>
    </w:rPr>
  </w:style>
  <w:style w:type="paragraph" w:customStyle="1" w:styleId="183">
    <w:name w:val="样式 首行缩进:  0.74 厘米"/>
    <w:basedOn w:val="1"/>
    <w:qFormat/>
    <w:uiPriority w:val="0"/>
    <w:pPr>
      <w:spacing w:line="360" w:lineRule="auto"/>
      <w:ind w:firstLine="420"/>
    </w:pPr>
    <w:rPr>
      <w:sz w:val="24"/>
    </w:rPr>
  </w:style>
  <w:style w:type="paragraph" w:customStyle="1" w:styleId="184">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85">
    <w:name w:val="表格文本"/>
    <w:qFormat/>
    <w:uiPriority w:val="0"/>
    <w:pPr>
      <w:tabs>
        <w:tab w:val="decimal" w:pos="0"/>
      </w:tabs>
    </w:pPr>
    <w:rPr>
      <w:rFonts w:ascii="Arial" w:hAnsi="Arial" w:eastAsia="宋体" w:cs="Times New Roman"/>
      <w:sz w:val="21"/>
      <w:lang w:val="en-US" w:eastAsia="zh-CN" w:bidi="ar-SA"/>
    </w:rPr>
  </w:style>
  <w:style w:type="paragraph" w:customStyle="1" w:styleId="186">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87">
    <w:name w:val="正文文本 21"/>
    <w:basedOn w:val="1"/>
    <w:qFormat/>
    <w:uiPriority w:val="0"/>
    <w:pPr>
      <w:adjustRightInd w:val="0"/>
      <w:spacing w:before="120" w:line="360" w:lineRule="auto"/>
      <w:ind w:firstLine="480"/>
      <w:textAlignment w:val="baseline"/>
    </w:pPr>
    <w:rPr>
      <w:sz w:val="24"/>
    </w:rPr>
  </w:style>
  <w:style w:type="paragraph" w:customStyle="1" w:styleId="188">
    <w:name w:val="图片文字"/>
    <w:basedOn w:val="1"/>
    <w:qFormat/>
    <w:uiPriority w:val="0"/>
    <w:pPr>
      <w:spacing w:line="240" w:lineRule="atLeast"/>
      <w:jc w:val="center"/>
    </w:pPr>
    <w:rPr>
      <w:sz w:val="21"/>
    </w:rPr>
  </w:style>
  <w:style w:type="paragraph" w:customStyle="1" w:styleId="189">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90">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91">
    <w:name w:val="样式 样式 首行缩进:  2 字符 + 首行缩进:  2 字符"/>
    <w:basedOn w:val="1"/>
    <w:qFormat/>
    <w:uiPriority w:val="0"/>
    <w:pPr>
      <w:numPr>
        <w:ilvl w:val="0"/>
        <w:numId w:val="14"/>
      </w:numPr>
      <w:spacing w:line="360" w:lineRule="auto"/>
      <w:ind w:firstLine="480" w:firstLineChars="200"/>
    </w:pPr>
    <w:rPr>
      <w:sz w:val="24"/>
    </w:rPr>
  </w:style>
  <w:style w:type="paragraph" w:customStyle="1" w:styleId="192">
    <w:name w:val="列表项目"/>
    <w:basedOn w:val="1"/>
    <w:qFormat/>
    <w:uiPriority w:val="0"/>
    <w:pPr>
      <w:numPr>
        <w:ilvl w:val="0"/>
        <w:numId w:val="15"/>
      </w:numPr>
      <w:tabs>
        <w:tab w:val="left" w:pos="420"/>
      </w:tabs>
      <w:spacing w:line="288" w:lineRule="auto"/>
      <w:ind w:left="840" w:leftChars="200" w:hanging="420" w:hangingChars="200"/>
    </w:pPr>
    <w:rPr>
      <w:sz w:val="21"/>
    </w:rPr>
  </w:style>
  <w:style w:type="paragraph" w:customStyle="1" w:styleId="193">
    <w:name w:val="Style Heading 3h3Heading 3 - oldLevel 3 HeadH3level_3PIM 3se..."/>
    <w:basedOn w:val="4"/>
    <w:qFormat/>
    <w:uiPriority w:val="0"/>
    <w:pPr>
      <w:numPr>
        <w:ilvl w:val="2"/>
        <w:numId w:val="9"/>
      </w:numPr>
      <w:jc w:val="both"/>
    </w:pPr>
    <w:rPr>
      <w:sz w:val="32"/>
    </w:rPr>
  </w:style>
  <w:style w:type="paragraph" w:customStyle="1" w:styleId="194">
    <w:name w:val="编号正文"/>
    <w:basedOn w:val="179"/>
    <w:qFormat/>
    <w:uiPriority w:val="0"/>
    <w:pPr>
      <w:snapToGrid/>
      <w:spacing w:line="360" w:lineRule="auto"/>
      <w:ind w:left="1407" w:hanging="1047"/>
      <w:jc w:val="left"/>
    </w:pPr>
    <w:rPr>
      <w:rFonts w:eastAsia="仿宋_GB2312"/>
    </w:rPr>
  </w:style>
  <w:style w:type="paragraph" w:customStyle="1" w:styleId="195">
    <w:name w:val="1.正文"/>
    <w:basedOn w:val="1"/>
    <w:qFormat/>
    <w:uiPriority w:val="0"/>
    <w:pPr>
      <w:spacing w:line="360" w:lineRule="auto"/>
      <w:ind w:left="540" w:leftChars="225" w:firstLine="540" w:firstLineChars="225"/>
    </w:pPr>
    <w:rPr>
      <w:sz w:val="24"/>
    </w:rPr>
  </w:style>
  <w:style w:type="paragraph" w:customStyle="1" w:styleId="196">
    <w:name w:val="Char1"/>
    <w:basedOn w:val="1"/>
    <w:qFormat/>
    <w:uiPriority w:val="0"/>
    <w:rPr>
      <w:sz w:val="21"/>
    </w:rPr>
  </w:style>
  <w:style w:type="paragraph" w:customStyle="1" w:styleId="197">
    <w:name w:val="图例"/>
    <w:basedOn w:val="1"/>
    <w:qFormat/>
    <w:uiPriority w:val="0"/>
    <w:pPr>
      <w:spacing w:before="120" w:after="120" w:line="360" w:lineRule="auto"/>
      <w:jc w:val="center"/>
    </w:pPr>
    <w:rPr>
      <w:rFonts w:eastAsia="仿宋_GB2312"/>
      <w:b/>
      <w:sz w:val="24"/>
    </w:rPr>
  </w:style>
  <w:style w:type="paragraph" w:customStyle="1" w:styleId="198">
    <w:name w:val="文本框样式1"/>
    <w:basedOn w:val="1"/>
    <w:qFormat/>
    <w:uiPriority w:val="0"/>
    <w:pPr>
      <w:adjustRightInd w:val="0"/>
      <w:snapToGrid w:val="0"/>
      <w:spacing w:before="60" w:line="180" w:lineRule="exact"/>
      <w:jc w:val="center"/>
    </w:pPr>
    <w:rPr>
      <w:sz w:val="21"/>
    </w:rPr>
  </w:style>
  <w:style w:type="paragraph" w:customStyle="1" w:styleId="199">
    <w:name w:val="00"/>
    <w:basedOn w:val="1"/>
    <w:qFormat/>
    <w:uiPriority w:val="0"/>
    <w:pPr>
      <w:autoSpaceDE w:val="0"/>
      <w:autoSpaceDN w:val="0"/>
      <w:adjustRightInd w:val="0"/>
      <w:jc w:val="left"/>
    </w:pPr>
    <w:rPr>
      <w:rFonts w:ascii="黑体" w:eastAsia="黑体"/>
      <w:b/>
      <w:kern w:val="0"/>
      <w:sz w:val="20"/>
    </w:rPr>
  </w:style>
  <w:style w:type="paragraph" w:customStyle="1" w:styleId="200">
    <w:name w:val="首行缩进 1"/>
    <w:basedOn w:val="1"/>
    <w:qFormat/>
    <w:uiPriority w:val="0"/>
    <w:pPr>
      <w:spacing w:after="120" w:line="360" w:lineRule="auto"/>
      <w:ind w:firstLine="200" w:firstLineChars="200"/>
    </w:pPr>
    <w:rPr>
      <w:sz w:val="24"/>
    </w:rPr>
  </w:style>
  <w:style w:type="paragraph" w:customStyle="1" w:styleId="201">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02">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203">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04">
    <w:name w:val="Char2"/>
    <w:basedOn w:val="1"/>
    <w:qFormat/>
    <w:uiPriority w:val="0"/>
    <w:pPr>
      <w:widowControl/>
      <w:spacing w:line="400" w:lineRule="exact"/>
      <w:jc w:val="center"/>
    </w:pPr>
    <w:rPr>
      <w:sz w:val="24"/>
    </w:rPr>
  </w:style>
  <w:style w:type="paragraph" w:customStyle="1" w:styleId="205">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06">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07">
    <w:name w:val="修订1"/>
    <w:qFormat/>
    <w:uiPriority w:val="0"/>
    <w:rPr>
      <w:rFonts w:ascii="Times New Roman" w:hAnsi="Times New Roman" w:eastAsia="宋体" w:cs="Times New Roman"/>
      <w:kern w:val="2"/>
      <w:sz w:val="21"/>
      <w:lang w:val="en-US" w:eastAsia="zh-CN" w:bidi="ar-SA"/>
    </w:rPr>
  </w:style>
  <w:style w:type="paragraph" w:customStyle="1" w:styleId="208">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09">
    <w:name w:val="Char Char Char Char Char Char Char"/>
    <w:basedOn w:val="17"/>
    <w:qFormat/>
    <w:uiPriority w:val="0"/>
    <w:rPr>
      <w:rFonts w:ascii="宋体" w:hAnsi="Tahoma"/>
    </w:rPr>
  </w:style>
  <w:style w:type="paragraph" w:customStyle="1" w:styleId="210">
    <w:name w:val="正文（首行不缩进）"/>
    <w:basedOn w:val="1"/>
    <w:qFormat/>
    <w:uiPriority w:val="0"/>
    <w:pPr>
      <w:autoSpaceDE w:val="0"/>
      <w:autoSpaceDN w:val="0"/>
      <w:adjustRightInd w:val="0"/>
      <w:spacing w:line="360" w:lineRule="auto"/>
      <w:jc w:val="left"/>
    </w:pPr>
    <w:rPr>
      <w:kern w:val="0"/>
      <w:sz w:val="21"/>
    </w:rPr>
  </w:style>
  <w:style w:type="paragraph" w:customStyle="1" w:styleId="211">
    <w:name w:val="表格内文字"/>
    <w:basedOn w:val="30"/>
    <w:qFormat/>
    <w:uiPriority w:val="0"/>
    <w:pPr>
      <w:snapToGrid/>
      <w:spacing w:line="240" w:lineRule="auto"/>
    </w:pPr>
    <w:rPr>
      <w:color w:val="000000"/>
      <w:lang w:val="en-GB"/>
    </w:rPr>
  </w:style>
  <w:style w:type="paragraph" w:customStyle="1" w:styleId="212">
    <w:name w:val="Item List"/>
    <w:qFormat/>
    <w:uiPriority w:val="0"/>
    <w:pPr>
      <w:numPr>
        <w:ilvl w:val="0"/>
        <w:numId w:val="16"/>
      </w:numPr>
      <w:spacing w:line="300" w:lineRule="auto"/>
      <w:jc w:val="both"/>
    </w:pPr>
    <w:rPr>
      <w:rFonts w:ascii="Arial" w:hAnsi="Arial" w:eastAsia="宋体" w:cs="Times New Roman"/>
      <w:sz w:val="21"/>
      <w:lang w:val="en-US" w:eastAsia="zh-CN" w:bidi="ar-SA"/>
    </w:rPr>
  </w:style>
  <w:style w:type="paragraph" w:customStyle="1" w:styleId="213">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14">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15">
    <w:name w:val="表文字"/>
    <w:qFormat/>
    <w:uiPriority w:val="0"/>
    <w:rPr>
      <w:rFonts w:ascii="宋体" w:hAnsi="Times New Roman" w:eastAsia="宋体" w:cs="Times New Roman"/>
      <w:kern w:val="2"/>
      <w:lang w:val="en-US" w:eastAsia="zh-CN" w:bidi="ar-SA"/>
    </w:rPr>
  </w:style>
  <w:style w:type="paragraph" w:customStyle="1" w:styleId="216">
    <w:name w:val="Char Char1 Char"/>
    <w:basedOn w:val="1"/>
    <w:qFormat/>
    <w:uiPriority w:val="0"/>
    <w:rPr>
      <w:rFonts w:ascii="Tahoma" w:hAnsi="Tahoma"/>
      <w:sz w:val="24"/>
      <w:szCs w:val="24"/>
    </w:rPr>
  </w:style>
  <w:style w:type="paragraph" w:customStyle="1" w:styleId="217">
    <w:name w:val="1"/>
    <w:basedOn w:val="1"/>
    <w:qFormat/>
    <w:uiPriority w:val="0"/>
    <w:rPr>
      <w:rFonts w:ascii="Tahoma" w:hAnsi="Tahoma"/>
      <w:sz w:val="24"/>
    </w:rPr>
  </w:style>
  <w:style w:type="paragraph" w:customStyle="1" w:styleId="218">
    <w:name w:val="Char Char Char Char Char Char 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19">
    <w:name w:val="默认段落字体 Para Char Char Char Char Char Char Char Char Char1 Char Char Char Char"/>
    <w:basedOn w:val="1"/>
    <w:qFormat/>
    <w:uiPriority w:val="0"/>
    <w:rPr>
      <w:rFonts w:ascii="Tahoma" w:hAnsi="Tahoma"/>
      <w:sz w:val="24"/>
    </w:rPr>
  </w:style>
  <w:style w:type="character" w:customStyle="1" w:styleId="220">
    <w:name w:val="小 Char"/>
    <w:qFormat/>
    <w:uiPriority w:val="0"/>
    <w:rPr>
      <w:rFonts w:ascii="宋体" w:hAnsi="Courier New" w:eastAsia="宋体"/>
      <w:kern w:val="2"/>
      <w:sz w:val="21"/>
      <w:lang w:val="en-US" w:eastAsia="zh-CN" w:bidi="ar-SA"/>
    </w:rPr>
  </w:style>
  <w:style w:type="paragraph" w:customStyle="1" w:styleId="221">
    <w:name w:val="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22">
    <w:name w:val="Char Char Char Char Char Char Char Char Char"/>
    <w:basedOn w:val="1"/>
    <w:qFormat/>
    <w:uiPriority w:val="0"/>
    <w:rPr>
      <w:sz w:val="21"/>
    </w:rPr>
  </w:style>
  <w:style w:type="paragraph" w:customStyle="1" w:styleId="223">
    <w:name w:val="Char2 Char Char Char"/>
    <w:basedOn w:val="1"/>
    <w:qFormat/>
    <w:uiPriority w:val="0"/>
    <w:rPr>
      <w:rFonts w:hint="eastAsia"/>
      <w:sz w:val="21"/>
    </w:rPr>
  </w:style>
  <w:style w:type="paragraph" w:customStyle="1" w:styleId="224">
    <w:name w:val="Char Char27 Char Char"/>
    <w:basedOn w:val="1"/>
    <w:qFormat/>
    <w:uiPriority w:val="0"/>
    <w:pPr>
      <w:widowControl/>
      <w:spacing w:after="160" w:line="240" w:lineRule="exact"/>
      <w:jc w:val="left"/>
    </w:pPr>
    <w:rPr>
      <w:rFonts w:ascii="Verdana" w:hAnsi="Verdana" w:eastAsia="仿宋_GB2312" w:cs="Verdana"/>
      <w:kern w:val="0"/>
      <w:sz w:val="24"/>
      <w:szCs w:val="24"/>
      <w:lang w:eastAsia="en-US"/>
    </w:rPr>
  </w:style>
  <w:style w:type="character" w:customStyle="1" w:styleId="225">
    <w:name w:val="5号正文 Char"/>
    <w:link w:val="226"/>
    <w:qFormat/>
    <w:uiPriority w:val="0"/>
    <w:rPr>
      <w:rFonts w:ascii="楷体_GB2312" w:hAnsi="宋体" w:eastAsia="楷体_GB2312"/>
      <w:snapToGrid w:val="0"/>
      <w:sz w:val="24"/>
      <w:szCs w:val="28"/>
      <w:lang w:val="en-US" w:eastAsia="zh-CN" w:bidi="ar-SA"/>
    </w:rPr>
  </w:style>
  <w:style w:type="paragraph" w:customStyle="1" w:styleId="226">
    <w:name w:val="5号正文"/>
    <w:link w:val="225"/>
    <w:qFormat/>
    <w:uiPriority w:val="0"/>
    <w:pPr>
      <w:widowControl w:val="0"/>
      <w:adjustRightInd w:val="0"/>
      <w:snapToGrid w:val="0"/>
      <w:spacing w:line="360" w:lineRule="auto"/>
      <w:ind w:firstLine="480" w:firstLineChars="200"/>
      <w:jc w:val="both"/>
    </w:pPr>
    <w:rPr>
      <w:rFonts w:ascii="楷体_GB2312" w:hAnsi="宋体" w:eastAsia="楷体_GB2312" w:cs="Times New Roman"/>
      <w:snapToGrid w:val="0"/>
      <w:sz w:val="24"/>
      <w:szCs w:val="28"/>
      <w:lang w:val="en-US" w:eastAsia="zh-CN" w:bidi="ar-SA"/>
    </w:rPr>
  </w:style>
  <w:style w:type="paragraph" w:customStyle="1" w:styleId="227">
    <w:name w:val="明显引用1"/>
    <w:basedOn w:val="1"/>
    <w:next w:val="1"/>
    <w:link w:val="228"/>
    <w:qFormat/>
    <w:uiPriority w:val="30"/>
    <w:pPr>
      <w:pBdr>
        <w:bottom w:val="single" w:color="4F81BD" w:sz="4" w:space="4"/>
      </w:pBdr>
      <w:spacing w:before="200" w:after="280"/>
      <w:ind w:left="936" w:right="936"/>
    </w:pPr>
    <w:rPr>
      <w:b/>
      <w:bCs/>
      <w:i/>
      <w:iCs/>
      <w:color w:val="4F81BD"/>
    </w:rPr>
  </w:style>
  <w:style w:type="character" w:customStyle="1" w:styleId="228">
    <w:name w:val="明显引用 Char"/>
    <w:link w:val="227"/>
    <w:qFormat/>
    <w:uiPriority w:val="30"/>
    <w:rPr>
      <w:b/>
      <w:bCs/>
      <w:i/>
      <w:iCs/>
      <w:color w:val="4F81BD"/>
      <w:kern w:val="2"/>
      <w:sz w:val="28"/>
    </w:rPr>
  </w:style>
  <w:style w:type="paragraph" w:customStyle="1" w:styleId="229">
    <w:name w:val="TOC 标题1"/>
    <w:basedOn w:val="2"/>
    <w:next w:val="1"/>
    <w:unhideWhenUsed/>
    <w:qFormat/>
    <w:uiPriority w:val="39"/>
    <w:pPr>
      <w:keepLines/>
      <w:widowControl/>
      <w:tabs>
        <w:tab w:val="clear" w:pos="3360"/>
      </w:tabs>
      <w:snapToGrid/>
      <w:spacing w:beforeLines="0" w:afterLines="0" w:line="259" w:lineRule="auto"/>
      <w:jc w:val="left"/>
      <w:outlineLvl w:val="9"/>
    </w:pPr>
    <w:rPr>
      <w:rFonts w:ascii="Cambria" w:hAnsi="Cambria" w:eastAsia="宋体" w:cs="Times New Roman"/>
      <w:color w:val="366091"/>
      <w:kern w:val="0"/>
      <w:sz w:val="32"/>
      <w:szCs w:val="32"/>
    </w:rPr>
  </w:style>
  <w:style w:type="paragraph" w:customStyle="1" w:styleId="230">
    <w:name w:val="Table Paragraph"/>
    <w:basedOn w:val="1"/>
    <w:qFormat/>
    <w:uiPriority w:val="1"/>
    <w:pPr>
      <w:jc w:val="left"/>
    </w:pPr>
    <w:rPr>
      <w:rFonts w:ascii="Calibri" w:hAnsi="Calibri" w:eastAsia="宋体" w:cs="Times New Roman"/>
      <w:kern w:val="0"/>
      <w:sz w:val="22"/>
      <w:szCs w:val="22"/>
      <w:lang w:eastAsia="en-US"/>
    </w:rPr>
  </w:style>
  <w:style w:type="table" w:customStyle="1" w:styleId="231">
    <w:name w:val="Table Normal"/>
    <w:unhideWhenUsed/>
    <w:qFormat/>
    <w:uiPriority w:val="2"/>
    <w:pPr>
      <w:widowControl w:val="0"/>
    </w:pPr>
    <w:rPr>
      <w:rFonts w:ascii="Calibri" w:hAnsi="Calibri" w:eastAsia="宋体" w:cs="Times New Roman"/>
      <w:sz w:val="22"/>
      <w:szCs w:val="22"/>
      <w:lang w:eastAsia="en-US"/>
    </w:rPr>
    <w:tblPr>
      <w:tblCellMar>
        <w:top w:w="0" w:type="dxa"/>
        <w:left w:w="0" w:type="dxa"/>
        <w:bottom w:w="0" w:type="dxa"/>
        <w:right w:w="0" w:type="dxa"/>
      </w:tblCellMar>
    </w:tblPr>
  </w:style>
  <w:style w:type="paragraph" w:customStyle="1" w:styleId="232">
    <w:name w:val="列出段落1"/>
    <w:basedOn w:val="1"/>
    <w:qFormat/>
    <w:uiPriority w:val="0"/>
    <w:pPr>
      <w:ind w:firstLine="420" w:firstLineChars="200"/>
    </w:pPr>
    <w:rPr>
      <w:rFonts w:ascii="Calibri" w:hAnsi="Calibri"/>
      <w:sz w:val="21"/>
      <w:szCs w:val="22"/>
    </w:rPr>
  </w:style>
  <w:style w:type="paragraph" w:customStyle="1" w:styleId="233">
    <w:name w:val="列出段落2"/>
    <w:basedOn w:val="1"/>
    <w:qFormat/>
    <w:uiPriority w:val="99"/>
    <w:pPr>
      <w:ind w:firstLine="420" w:firstLineChars="200"/>
    </w:pPr>
  </w:style>
  <w:style w:type="table" w:customStyle="1" w:styleId="234">
    <w:name w:val="Table Normal2"/>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character" w:customStyle="1" w:styleId="235">
    <w:name w:val="font31"/>
    <w:qFormat/>
    <w:uiPriority w:val="0"/>
    <w:rPr>
      <w:rFonts w:hint="eastAsia" w:ascii="宋体" w:hAnsi="宋体" w:eastAsia="宋体" w:cs="宋体"/>
      <w:color w:val="000000"/>
      <w:sz w:val="21"/>
      <w:szCs w:val="21"/>
      <w:u w:val="none"/>
    </w:rPr>
  </w:style>
  <w:style w:type="paragraph" w:customStyle="1" w:styleId="23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37">
    <w:name w:val="Body text|2"/>
    <w:basedOn w:val="1"/>
    <w:qFormat/>
    <w:uiPriority w:val="0"/>
    <w:pPr>
      <w:spacing w:line="623" w:lineRule="exact"/>
      <w:ind w:left="940"/>
    </w:pPr>
    <w:rPr>
      <w:rFonts w:ascii="宋体" w:hAnsi="宋体" w:cs="宋体"/>
      <w:sz w:val="30"/>
      <w:szCs w:val="30"/>
      <w:lang w:val="zh-TW" w:eastAsia="zh-TW" w:bidi="zh-TW"/>
    </w:rPr>
  </w:style>
  <w:style w:type="paragraph" w:customStyle="1" w:styleId="238">
    <w:name w:val="正文首行缩进两字符"/>
    <w:basedOn w:val="1"/>
    <w:qFormat/>
    <w:uiPriority w:val="0"/>
    <w:pPr>
      <w:spacing w:line="360" w:lineRule="auto"/>
      <w:ind w:firstLine="200" w:firstLineChars="200"/>
    </w:pPr>
  </w:style>
  <w:style w:type="paragraph" w:customStyle="1" w:styleId="239">
    <w:name w:val="列表段落1"/>
    <w:basedOn w:val="1"/>
    <w:qFormat/>
    <w:uiPriority w:val="99"/>
    <w:pPr>
      <w:ind w:firstLine="420" w:firstLineChars="200"/>
    </w:pPr>
    <w:rPr>
      <w:rFonts w:ascii="Calibri" w:hAnsi="Calibri"/>
      <w:szCs w:val="22"/>
    </w:rPr>
  </w:style>
  <w:style w:type="paragraph" w:customStyle="1" w:styleId="240">
    <w:name w:val="正文 New New New New New"/>
    <w:basedOn w:val="1"/>
    <w:qFormat/>
    <w:uiPriority w:val="0"/>
    <w:rPr>
      <w:rFonts w:cs="Calibri"/>
      <w:szCs w:val="21"/>
    </w:rPr>
  </w:style>
  <w:style w:type="paragraph" w:customStyle="1" w:styleId="241">
    <w:name w:val="样式 首行缩进:  2 字符"/>
    <w:basedOn w:val="1"/>
    <w:qFormat/>
    <w:uiPriority w:val="0"/>
    <w:pPr>
      <w:spacing w:line="400" w:lineRule="exact"/>
      <w:ind w:firstLine="200" w:firstLineChars="200"/>
    </w:pPr>
    <w:rPr>
      <w:rFonts w:cs="宋体"/>
      <w:sz w:val="24"/>
    </w:rPr>
  </w:style>
  <w:style w:type="character" w:customStyle="1" w:styleId="242">
    <w:name w:val="NormalCharacter"/>
    <w:qFormat/>
    <w:uiPriority w:val="0"/>
  </w:style>
  <w:style w:type="paragraph" w:customStyle="1" w:styleId="243">
    <w:name w:val="Plain Text1"/>
    <w:basedOn w:val="1"/>
    <w:qFormat/>
    <w:uiPriority w:val="99"/>
    <w:pPr>
      <w:adjustRightInd w:val="0"/>
      <w:jc w:val="left"/>
      <w:textAlignment w:val="baseline"/>
    </w:pPr>
    <w:rPr>
      <w:rFonts w:ascii="宋体" w:hAnsi="Courier New" w:cs="宋体"/>
      <w:sz w:val="24"/>
      <w:szCs w:val="24"/>
    </w:rPr>
  </w:style>
  <w:style w:type="paragraph" w:customStyle="1" w:styleId="244">
    <w:name w:val="reader-word-layer reader-word-s15-6"/>
    <w:qFormat/>
    <w:uiPriority w:val="0"/>
    <w:pPr>
      <w:spacing w:before="100" w:beforeAutospacing="1" w:after="100" w:afterAutospacing="1"/>
    </w:pPr>
    <w:rPr>
      <w:rFonts w:ascii="宋体" w:hAnsi="宋体" w:eastAsia="宋体" w:cs="宋体"/>
      <w:sz w:val="24"/>
      <w:szCs w:val="24"/>
      <w:lang w:val="en-US" w:eastAsia="zh-CN" w:bidi="ar-SA"/>
    </w:rPr>
  </w:style>
  <w:style w:type="paragraph" w:styleId="245">
    <w:name w:val="List Paragraph"/>
    <w:basedOn w:val="1"/>
    <w:unhideWhenUsed/>
    <w:qFormat/>
    <w:uiPriority w:val="99"/>
    <w:pPr>
      <w:ind w:firstLine="420" w:firstLineChars="200"/>
    </w:pPr>
  </w:style>
  <w:style w:type="paragraph" w:customStyle="1" w:styleId="246">
    <w:name w:val="09、“1.”表格内一级标题"/>
    <w:basedOn w:val="1"/>
    <w:qFormat/>
    <w:uiPriority w:val="0"/>
    <w:pPr>
      <w:numPr>
        <w:ilvl w:val="0"/>
        <w:numId w:val="17"/>
      </w:numPr>
      <w:tabs>
        <w:tab w:val="left" w:pos="0"/>
      </w:tabs>
      <w:wordWrap w:val="0"/>
      <w:topLinePunct/>
      <w:adjustRightInd w:val="0"/>
      <w:snapToGrid w:val="0"/>
      <w:spacing w:line="360" w:lineRule="exact"/>
      <w:ind w:left="48" w:leftChars="20"/>
      <w:jc w:val="left"/>
    </w:pPr>
    <w:rPr>
      <w:rFonts w:ascii="宋体" w:hAnsi="宋体" w:cs="Times New Roman"/>
      <w:snapToGrid w:val="0"/>
      <w:sz w:val="21"/>
      <w:szCs w:val="24"/>
    </w:rPr>
  </w:style>
  <w:style w:type="paragraph" w:customStyle="1" w:styleId="24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48">
    <w:name w:val="font21"/>
    <w:basedOn w:val="6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26700;&#38754;\&#25307;&#26631;&#20844;&#21578;\&#22235;&#24029;&#21830;&#21153;&#32844;&#19994;&#23398;&#38498;2026&#24180;&#24230;&#20869;&#37096;&#19987;&#39033;&#23457;&#35745;&#26381;&#21153;&#37319;&#36141;&#39033;&#30446;.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四川商务职业学院2026年度内部专项审计服务采购项目.dot</Template>
  <Pages>42</Pages>
  <Words>1221</Words>
  <Characters>1446</Characters>
  <Lines>22</Lines>
  <Paragraphs>39</Paragraphs>
  <TotalTime>18</TotalTime>
  <ScaleCrop>false</ScaleCrop>
  <LinksUpToDate>false</LinksUpToDate>
  <CharactersWithSpaces>1484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2026-03-13T02:03:00Z</dcterms:created>
  <dc:creator>王亚萍</dc:creator>
  <cp:lastModifiedBy>梁小龙</cp:lastModifiedBy>
  <dcterms:modified xsi:type="dcterms:W3CDTF">2026-04-13T07:37:44Z</dcterms:modified>
  <dc:title>招标文件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ECBCD1F084DD4375AC2208122CB6472D_13</vt:lpwstr>
  </property>
  <property fmtid="{D5CDD505-2E9C-101B-9397-08002B2CF9AE}" pid="4" name="KSOTemplateDocerSaveRecord">
    <vt:lpwstr>eyJoZGlkIjoiNTg4MDQ0Nzk4YmJlNTkwMTMzMGE0OWJhZDQxZjcyNTUiLCJ1c2VySWQiOiIxNzE5NzE5NjE4In0=</vt:lpwstr>
  </property>
</Properties>
</file>