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2927">
      <w:pPr>
        <w:wordWrap w:val="0"/>
        <w:spacing w:line="360" w:lineRule="auto"/>
        <w:jc w:val="left"/>
        <w:rPr>
          <w:rFonts w:hint="eastAsia" w:ascii="仿宋" w:hAnsi="仿宋" w:eastAsia="仿宋" w:cs="仿宋"/>
          <w:b/>
          <w:color w:val="auto"/>
          <w:kern w:val="1"/>
          <w:sz w:val="30"/>
          <w:szCs w:val="30"/>
        </w:rPr>
      </w:pPr>
    </w:p>
    <w:p w14:paraId="46C7EC9C">
      <w:pPr>
        <w:wordWrap w:val="0"/>
        <w:spacing w:line="360" w:lineRule="auto"/>
        <w:jc w:val="center"/>
        <w:rPr>
          <w:rFonts w:hint="eastAsia" w:ascii="微软雅黑" w:hAnsi="微软雅黑" w:eastAsia="微软雅黑" w:cs="微软雅黑"/>
          <w:b/>
          <w:color w:val="auto"/>
          <w:kern w:val="1"/>
          <w:sz w:val="32"/>
          <w:szCs w:val="32"/>
          <w:highlight w:val="yellow"/>
          <w:lang w:eastAsia="zh-CN"/>
        </w:rPr>
      </w:pPr>
      <w:r>
        <w:rPr>
          <w:rFonts w:hint="eastAsia" w:ascii="微软雅黑" w:hAnsi="微软雅黑" w:eastAsia="微软雅黑" w:cs="微软雅黑"/>
          <w:b/>
          <w:color w:val="auto"/>
          <w:kern w:val="1"/>
          <w:sz w:val="32"/>
          <w:szCs w:val="32"/>
          <w:lang w:eastAsia="zh-CN"/>
        </w:rPr>
        <w:t>项目编号：SCSWZBB-2026-007</w:t>
      </w:r>
    </w:p>
    <w:p w14:paraId="7ECD093D">
      <w:pPr>
        <w:pStyle w:val="2"/>
        <w:wordWrap w:val="0"/>
        <w:jc w:val="center"/>
        <w:rPr>
          <w:rFonts w:hint="eastAsia" w:ascii="微软雅黑" w:hAnsi="微软雅黑" w:eastAsia="微软雅黑" w:cs="微软雅黑"/>
          <w:b/>
          <w:color w:val="auto"/>
          <w:sz w:val="52"/>
          <w:szCs w:val="52"/>
          <w:lang w:eastAsia="zh-CN"/>
        </w:rPr>
      </w:pPr>
      <w:bookmarkStart w:id="0" w:name="_Hlk199237268"/>
      <w:r>
        <w:rPr>
          <w:rFonts w:hint="eastAsia" w:ascii="微软雅黑" w:hAnsi="微软雅黑" w:eastAsia="微软雅黑" w:cs="微软雅黑"/>
          <w:b/>
          <w:color w:val="auto"/>
          <w:sz w:val="48"/>
          <w:szCs w:val="48"/>
          <w:lang w:eastAsia="zh-CN"/>
        </w:rPr>
        <w:t>四川商务职业学院技能大师工作室建设原材料采购项目（第三次）</w:t>
      </w:r>
    </w:p>
    <w:bookmarkEnd w:id="0"/>
    <w:p w14:paraId="1AE870EF">
      <w:pPr>
        <w:pStyle w:val="2"/>
        <w:wordWrap w:val="0"/>
        <w:rPr>
          <w:rFonts w:hint="eastAsia" w:ascii="微软雅黑" w:hAnsi="微软雅黑" w:eastAsia="微软雅黑" w:cs="微软雅黑"/>
          <w:b/>
          <w:color w:val="auto"/>
          <w:sz w:val="48"/>
          <w:szCs w:val="48"/>
        </w:rPr>
      </w:pPr>
    </w:p>
    <w:p w14:paraId="22FCB897">
      <w:pPr>
        <w:pStyle w:val="3"/>
      </w:pPr>
    </w:p>
    <w:p w14:paraId="62413965">
      <w:pPr>
        <w:rPr>
          <w:color w:val="auto"/>
        </w:rPr>
      </w:pPr>
    </w:p>
    <w:p w14:paraId="7B43B6D9">
      <w:pPr>
        <w:pStyle w:val="2"/>
        <w:wordWrap w:val="0"/>
        <w:rPr>
          <w:rFonts w:hint="eastAsia" w:ascii="微软雅黑" w:hAnsi="微软雅黑" w:eastAsia="微软雅黑" w:cs="微软雅黑"/>
          <w:color w:val="auto"/>
        </w:rPr>
      </w:pPr>
    </w:p>
    <w:p w14:paraId="6FCA96E5">
      <w:pPr>
        <w:wordWrap w:val="0"/>
        <w:spacing w:line="360" w:lineRule="auto"/>
        <w:jc w:val="center"/>
        <w:rPr>
          <w:rFonts w:hint="eastAsia" w:ascii="微软雅黑" w:hAnsi="微软雅黑" w:eastAsia="微软雅黑" w:cs="微软雅黑"/>
          <w:b/>
          <w:color w:val="auto"/>
          <w:kern w:val="1"/>
          <w:sz w:val="84"/>
          <w:szCs w:val="84"/>
        </w:rPr>
      </w:pPr>
      <w:r>
        <w:rPr>
          <w:rFonts w:hint="eastAsia" w:ascii="微软雅黑" w:hAnsi="微软雅黑" w:eastAsia="微软雅黑" w:cs="微软雅黑"/>
          <w:b/>
          <w:color w:val="auto"/>
          <w:kern w:val="1"/>
          <w:sz w:val="84"/>
          <w:szCs w:val="84"/>
        </w:rPr>
        <w:t>竞争性磋商文件</w:t>
      </w:r>
    </w:p>
    <w:p w14:paraId="4A0BB6F8">
      <w:pPr>
        <w:pStyle w:val="2"/>
        <w:rPr>
          <w:rFonts w:hint="eastAsia" w:ascii="微软雅黑" w:hAnsi="微软雅黑" w:eastAsia="微软雅黑" w:cs="微软雅黑"/>
          <w:color w:val="auto"/>
        </w:rPr>
      </w:pPr>
    </w:p>
    <w:p w14:paraId="3E771199">
      <w:pPr>
        <w:rPr>
          <w:color w:val="auto"/>
        </w:rPr>
      </w:pPr>
    </w:p>
    <w:p w14:paraId="78EAFBB0">
      <w:pPr>
        <w:wordWrap w:val="0"/>
        <w:jc w:val="center"/>
        <w:rPr>
          <w:rFonts w:hint="eastAsia" w:ascii="微软雅黑" w:hAnsi="微软雅黑" w:eastAsia="微软雅黑" w:cs="微软雅黑"/>
          <w:b/>
          <w:color w:val="auto"/>
          <w:kern w:val="1"/>
          <w:sz w:val="32"/>
          <w:szCs w:val="32"/>
        </w:rPr>
      </w:pPr>
      <w:r>
        <w:rPr>
          <w:rFonts w:hint="eastAsia" w:ascii="微软雅黑" w:hAnsi="微软雅黑" w:eastAsia="微软雅黑" w:cs="微软雅黑"/>
          <w:b/>
          <w:color w:val="auto"/>
          <w:kern w:val="1"/>
          <w:sz w:val="32"/>
          <w:szCs w:val="32"/>
        </w:rPr>
        <w:t>中国·四川</w:t>
      </w:r>
    </w:p>
    <w:p w14:paraId="69C6785C">
      <w:pPr>
        <w:wordWrap w:val="0"/>
        <w:jc w:val="center"/>
        <w:rPr>
          <w:rFonts w:hint="eastAsia" w:ascii="微软雅黑" w:hAnsi="微软雅黑" w:eastAsia="微软雅黑" w:cs="微软雅黑"/>
          <w:b/>
          <w:color w:val="auto"/>
          <w:kern w:val="1"/>
          <w:sz w:val="32"/>
          <w:szCs w:val="32"/>
        </w:rPr>
      </w:pPr>
      <w:r>
        <w:rPr>
          <w:rFonts w:hint="eastAsia" w:ascii="微软雅黑" w:hAnsi="微软雅黑" w:eastAsia="微软雅黑" w:cs="微软雅黑"/>
          <w:b/>
          <w:color w:val="auto"/>
          <w:kern w:val="1"/>
          <w:sz w:val="32"/>
          <w:szCs w:val="32"/>
        </w:rPr>
        <w:t>四川商务职业学院</w:t>
      </w:r>
    </w:p>
    <w:p w14:paraId="06A9A541">
      <w:pPr>
        <w:wordWrap w:val="0"/>
        <w:jc w:val="center"/>
        <w:rPr>
          <w:rFonts w:hint="eastAsia" w:ascii="微软雅黑" w:hAnsi="微软雅黑" w:eastAsia="微软雅黑" w:cs="微软雅黑"/>
          <w:b/>
          <w:color w:val="auto"/>
          <w:kern w:val="1"/>
          <w:sz w:val="32"/>
          <w:szCs w:val="32"/>
        </w:rPr>
      </w:pPr>
      <w:r>
        <w:rPr>
          <w:rFonts w:hint="eastAsia" w:ascii="微软雅黑" w:hAnsi="微软雅黑" w:eastAsia="微软雅黑" w:cs="微软雅黑"/>
          <w:b/>
          <w:color w:val="auto"/>
          <w:kern w:val="1"/>
          <w:sz w:val="32"/>
          <w:szCs w:val="32"/>
        </w:rPr>
        <w:t>编制</w:t>
      </w:r>
    </w:p>
    <w:p w14:paraId="353553B4">
      <w:pPr>
        <w:wordWrap w:val="0"/>
        <w:jc w:val="center"/>
        <w:rPr>
          <w:rFonts w:hint="eastAsia" w:ascii="仿宋" w:hAnsi="仿宋" w:eastAsia="仿宋" w:cs="仿宋"/>
          <w:b/>
          <w:color w:val="auto"/>
          <w:kern w:val="1"/>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sectPr>
      </w:pPr>
      <w:r>
        <w:rPr>
          <w:rFonts w:hint="eastAsia" w:ascii="微软雅黑" w:hAnsi="微软雅黑" w:eastAsia="微软雅黑" w:cs="微软雅黑"/>
          <w:b/>
          <w:color w:val="auto"/>
          <w:kern w:val="1"/>
          <w:sz w:val="32"/>
          <w:szCs w:val="32"/>
        </w:rPr>
        <w:t>202</w:t>
      </w:r>
      <w:r>
        <w:rPr>
          <w:rFonts w:hint="eastAsia" w:ascii="微软雅黑" w:hAnsi="微软雅黑" w:eastAsia="微软雅黑" w:cs="微软雅黑"/>
          <w:b/>
          <w:color w:val="auto"/>
          <w:kern w:val="1"/>
          <w:sz w:val="32"/>
          <w:szCs w:val="32"/>
          <w:lang w:val="en-US" w:eastAsia="zh-CN"/>
        </w:rPr>
        <w:t>6</w:t>
      </w:r>
      <w:r>
        <w:rPr>
          <w:rFonts w:hint="eastAsia" w:ascii="微软雅黑" w:hAnsi="微软雅黑" w:eastAsia="微软雅黑" w:cs="微软雅黑"/>
          <w:b/>
          <w:color w:val="auto"/>
          <w:kern w:val="1"/>
          <w:sz w:val="32"/>
          <w:szCs w:val="32"/>
        </w:rPr>
        <w:t>年0</w:t>
      </w:r>
      <w:r>
        <w:rPr>
          <w:rFonts w:hint="eastAsia" w:ascii="微软雅黑" w:hAnsi="微软雅黑" w:eastAsia="微软雅黑" w:cs="微软雅黑"/>
          <w:b/>
          <w:color w:val="auto"/>
          <w:kern w:val="1"/>
          <w:sz w:val="32"/>
          <w:szCs w:val="32"/>
          <w:lang w:val="en-US" w:eastAsia="zh-CN"/>
        </w:rPr>
        <w:t>6</w:t>
      </w:r>
      <w:r>
        <w:rPr>
          <w:rFonts w:hint="eastAsia" w:ascii="微软雅黑" w:hAnsi="微软雅黑" w:eastAsia="微软雅黑" w:cs="微软雅黑"/>
          <w:b/>
          <w:color w:val="auto"/>
          <w:kern w:val="1"/>
          <w:sz w:val="32"/>
          <w:szCs w:val="32"/>
        </w:rPr>
        <w:t>月</w:t>
      </w:r>
    </w:p>
    <w:p w14:paraId="59D8F6DB">
      <w:pPr>
        <w:pStyle w:val="62"/>
        <w:wordWrap w:val="0"/>
        <w:spacing w:before="0" w:line="336" w:lineRule="auto"/>
        <w:jc w:val="center"/>
        <w:rPr>
          <w:rFonts w:hint="eastAsia" w:ascii="仿宋" w:hAnsi="仿宋" w:eastAsia="仿宋" w:cs="仿宋"/>
          <w:color w:val="auto"/>
          <w:sz w:val="32"/>
          <w:szCs w:val="44"/>
        </w:rPr>
      </w:pPr>
      <w:bookmarkStart w:id="1" w:name="_Toc1981"/>
      <w:r>
        <w:rPr>
          <w:rFonts w:hint="eastAsia" w:ascii="仿宋" w:hAnsi="仿宋" w:eastAsia="仿宋" w:cs="仿宋"/>
          <w:color w:val="auto"/>
          <w:sz w:val="40"/>
          <w:szCs w:val="52"/>
        </w:rPr>
        <w:t>目  录</w:t>
      </w:r>
      <w:bookmarkEnd w:id="1"/>
    </w:p>
    <w:p w14:paraId="738320EC">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第一章 磋商邀请函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_Toc17168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p w14:paraId="0892F71F">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第二章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_Toc10768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p w14:paraId="091F1DA2">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第三章 项目技术、服务、采购合同内容条款及其他商务要求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_Toc19493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p>
    <w:p w14:paraId="09C07A44">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第四章 供应商和供应商产品的资格、资质性及其他类似效力要求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_Toc4754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p>
    <w:p w14:paraId="381F2ED6">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第五章 供应商应当提供的资格、资质性及其他类似效力要求的相关证明材料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_Toc23906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p>
    <w:p w14:paraId="1F54A10F">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第六章 评审方法、程序和标准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_Toc24732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p>
    <w:p w14:paraId="0CB383B6">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第七章 部分响应文件格式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_Toc12826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p>
    <w:p w14:paraId="5DD086A0">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第八章 采购合同须知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_Toc22923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p>
    <w:p w14:paraId="23C99A18">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第九章 合同主要条款（仅供参考）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_Toc18218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p>
    <w:p w14:paraId="082948C3">
      <w:pPr>
        <w:wordWrap w:val="0"/>
        <w:spacing w:line="360" w:lineRule="auto"/>
        <w:rPr>
          <w:rFonts w:hint="eastAsia" w:ascii="仿宋" w:hAnsi="仿宋" w:eastAsia="仿宋" w:cs="仿宋"/>
          <w:color w:val="auto"/>
        </w:rPr>
        <w:sectPr>
          <w:headerReference r:id="rId10" w:type="first"/>
          <w:headerReference r:id="rId9" w:type="default"/>
          <w:footerReference r:id="rId11" w:type="default"/>
          <w:pgSz w:w="11906" w:h="16838"/>
          <w:pgMar w:top="1440" w:right="1800" w:bottom="1440" w:left="1800" w:header="851" w:footer="992" w:gutter="0"/>
          <w:cols w:space="720" w:num="1"/>
          <w:titlePg/>
        </w:sectPr>
      </w:pPr>
      <w:r>
        <w:rPr>
          <w:rFonts w:hint="eastAsia" w:ascii="仿宋" w:hAnsi="仿宋" w:eastAsia="仿宋" w:cs="仿宋"/>
          <w:color w:val="auto"/>
          <w:sz w:val="24"/>
          <w:szCs w:val="24"/>
        </w:rPr>
        <w:fldChar w:fldCharType="end"/>
      </w:r>
    </w:p>
    <w:p w14:paraId="32D9239A">
      <w:pPr>
        <w:pStyle w:val="4"/>
        <w:wordWrap w:val="0"/>
        <w:spacing w:before="0" w:after="0" w:line="360" w:lineRule="auto"/>
        <w:rPr>
          <w:rFonts w:hint="eastAsia" w:ascii="仿宋" w:hAnsi="仿宋" w:eastAsia="仿宋" w:cs="仿宋"/>
          <w:color w:val="auto"/>
        </w:rPr>
      </w:pPr>
      <w:bookmarkStart w:id="2" w:name="_Toc17168"/>
      <w:r>
        <w:rPr>
          <w:rFonts w:hint="eastAsia" w:ascii="仿宋" w:hAnsi="仿宋" w:eastAsia="仿宋" w:cs="仿宋"/>
          <w:color w:val="auto"/>
        </w:rPr>
        <w:t>第一章 磋商邀请函</w:t>
      </w:r>
      <w:bookmarkEnd w:id="2"/>
    </w:p>
    <w:p w14:paraId="4F379EB7">
      <w:pPr>
        <w:widowControl/>
        <w:wordWrap w:val="0"/>
        <w:spacing w:line="360" w:lineRule="auto"/>
        <w:ind w:firstLine="6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u w:val="single"/>
        </w:rPr>
        <w:t>四川商务职业学院</w:t>
      </w:r>
      <w:r>
        <w:rPr>
          <w:rFonts w:hint="eastAsia" w:ascii="仿宋" w:hAnsi="仿宋" w:eastAsia="仿宋" w:cs="仿宋"/>
          <w:color w:val="auto"/>
          <w:kern w:val="1"/>
          <w:sz w:val="24"/>
          <w:szCs w:val="24"/>
        </w:rPr>
        <w:t>拟对“</w:t>
      </w:r>
      <w:r>
        <w:rPr>
          <w:rFonts w:hint="eastAsia" w:ascii="仿宋" w:hAnsi="仿宋" w:eastAsia="仿宋" w:cs="仿宋"/>
          <w:color w:val="auto"/>
          <w:kern w:val="1"/>
          <w:sz w:val="24"/>
          <w:szCs w:val="24"/>
          <w:u w:val="single"/>
          <w:lang w:eastAsia="zh-CN"/>
        </w:rPr>
        <w:t>四川商务职业学院技能大师工作室建设原材料采购项目（第三次）</w:t>
      </w:r>
      <w:r>
        <w:rPr>
          <w:rFonts w:hint="eastAsia" w:ascii="仿宋" w:hAnsi="仿宋" w:eastAsia="仿宋" w:cs="仿宋"/>
          <w:color w:val="auto"/>
          <w:kern w:val="1"/>
          <w:sz w:val="24"/>
          <w:szCs w:val="24"/>
        </w:rPr>
        <w:t>”以竞争性磋商方式进行采购，兹邀请符合资格条件的供应商就下述采购项目提交密封的响应文件并提出报价。</w:t>
      </w:r>
    </w:p>
    <w:p w14:paraId="23D0AF2B">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b/>
          <w:color w:val="auto"/>
          <w:kern w:val="1"/>
          <w:sz w:val="24"/>
          <w:szCs w:val="24"/>
        </w:rPr>
        <w:t>一、项目名称</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eastAsia="zh-CN"/>
        </w:rPr>
        <w:t>四川商务职业学院技能大师工作室建设原材料采购项目（第三次）</w:t>
      </w:r>
      <w:r>
        <w:rPr>
          <w:rFonts w:hint="eastAsia" w:ascii="仿宋" w:hAnsi="仿宋" w:eastAsia="仿宋" w:cs="仿宋"/>
          <w:color w:val="auto"/>
          <w:kern w:val="1"/>
          <w:sz w:val="24"/>
          <w:szCs w:val="24"/>
        </w:rPr>
        <w:t xml:space="preserve"> 。</w:t>
      </w:r>
    </w:p>
    <w:p w14:paraId="23A88010">
      <w:pPr>
        <w:widowControl/>
        <w:wordWrap w:val="0"/>
        <w:spacing w:line="360" w:lineRule="auto"/>
        <w:ind w:firstLine="482"/>
        <w:jc w:val="left"/>
        <w:rPr>
          <w:rFonts w:hint="eastAsia" w:ascii="仿宋" w:hAnsi="仿宋" w:eastAsia="仿宋" w:cs="仿宋"/>
          <w:color w:val="auto"/>
          <w:kern w:val="1"/>
          <w:sz w:val="24"/>
          <w:szCs w:val="24"/>
          <w:lang w:eastAsia="zh-CN"/>
        </w:rPr>
      </w:pPr>
      <w:r>
        <w:rPr>
          <w:rFonts w:hint="eastAsia" w:ascii="仿宋" w:hAnsi="仿宋" w:eastAsia="仿宋" w:cs="仿宋"/>
          <w:b/>
          <w:color w:val="auto"/>
          <w:kern w:val="1"/>
          <w:sz w:val="24"/>
          <w:szCs w:val="24"/>
        </w:rPr>
        <w:t>二、</w:t>
      </w:r>
      <w:r>
        <w:rPr>
          <w:rFonts w:hint="eastAsia" w:ascii="仿宋" w:hAnsi="仿宋" w:eastAsia="仿宋" w:cs="仿宋"/>
          <w:b/>
          <w:color w:val="auto"/>
          <w:kern w:val="1"/>
          <w:sz w:val="24"/>
          <w:szCs w:val="24"/>
          <w:lang w:eastAsia="zh-CN"/>
        </w:rPr>
        <w:t>项目编号：SCSWZBB-2026-007</w:t>
      </w:r>
    </w:p>
    <w:p w14:paraId="0D861B1B">
      <w:pPr>
        <w:widowControl/>
        <w:wordWrap w:val="0"/>
        <w:spacing w:line="360" w:lineRule="auto"/>
        <w:ind w:firstLine="482"/>
        <w:jc w:val="left"/>
        <w:rPr>
          <w:rFonts w:hint="eastAsia" w:ascii="仿宋" w:hAnsi="仿宋" w:eastAsia="仿宋" w:cs="仿宋"/>
          <w:b/>
          <w:color w:val="auto"/>
          <w:kern w:val="1"/>
          <w:sz w:val="24"/>
          <w:szCs w:val="24"/>
          <w:lang w:eastAsia="zh-CN"/>
        </w:rPr>
      </w:pPr>
      <w:r>
        <w:rPr>
          <w:rFonts w:hint="eastAsia" w:ascii="仿宋" w:hAnsi="仿宋" w:eastAsia="仿宋" w:cs="仿宋"/>
          <w:b/>
          <w:color w:val="auto"/>
          <w:kern w:val="1"/>
          <w:sz w:val="24"/>
          <w:szCs w:val="24"/>
        </w:rPr>
        <w:t>三、预算金额：</w:t>
      </w:r>
      <w:r>
        <w:rPr>
          <w:rFonts w:hint="eastAsia" w:ascii="仿宋" w:hAnsi="仿宋" w:eastAsia="仿宋" w:cs="仿宋"/>
          <w:color w:val="auto"/>
          <w:kern w:val="1"/>
          <w:sz w:val="24"/>
          <w:szCs w:val="24"/>
          <w:lang w:val="en-US" w:eastAsia="zh-CN"/>
        </w:rPr>
        <w:t>12</w:t>
      </w:r>
      <w:r>
        <w:rPr>
          <w:rFonts w:hint="eastAsia" w:ascii="仿宋" w:hAnsi="仿宋" w:eastAsia="仿宋" w:cs="仿宋"/>
          <w:color w:val="auto"/>
          <w:kern w:val="1"/>
          <w:sz w:val="24"/>
          <w:szCs w:val="24"/>
        </w:rPr>
        <w:t>万元</w:t>
      </w:r>
      <w:r>
        <w:rPr>
          <w:rFonts w:hint="eastAsia" w:ascii="仿宋" w:hAnsi="仿宋" w:eastAsia="仿宋" w:cs="仿宋"/>
          <w:color w:val="auto"/>
          <w:kern w:val="1"/>
          <w:sz w:val="24"/>
          <w:szCs w:val="24"/>
          <w:lang w:eastAsia="zh-CN"/>
        </w:rPr>
        <w:t>（</w:t>
      </w:r>
      <w:r>
        <w:rPr>
          <w:rFonts w:hint="eastAsia" w:ascii="仿宋" w:hAnsi="仿宋" w:eastAsia="仿宋" w:cs="仿宋"/>
          <w:color w:val="auto"/>
          <w:kern w:val="1"/>
          <w:sz w:val="24"/>
          <w:szCs w:val="24"/>
          <w:lang w:val="en-US" w:eastAsia="zh-CN"/>
        </w:rPr>
        <w:t>含杂项物料类不超过5000元</w:t>
      </w:r>
      <w:r>
        <w:rPr>
          <w:rFonts w:hint="eastAsia" w:ascii="仿宋" w:hAnsi="仿宋" w:eastAsia="仿宋" w:cs="仿宋"/>
          <w:color w:val="auto"/>
          <w:kern w:val="1"/>
          <w:sz w:val="24"/>
          <w:szCs w:val="24"/>
          <w:lang w:eastAsia="zh-CN"/>
        </w:rPr>
        <w:t>）</w:t>
      </w:r>
    </w:p>
    <w:p w14:paraId="6CCA90E8">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四、采购内容概况：</w:t>
      </w:r>
      <w:r>
        <w:rPr>
          <w:rFonts w:hint="eastAsia" w:ascii="仿宋" w:hAnsi="仿宋" w:eastAsia="仿宋" w:cs="仿宋"/>
          <w:color w:val="auto"/>
          <w:kern w:val="1"/>
          <w:sz w:val="24"/>
          <w:szCs w:val="24"/>
        </w:rPr>
        <w:t>本项目共1包，</w:t>
      </w:r>
      <w:r>
        <w:rPr>
          <w:rFonts w:hint="eastAsia" w:ascii="仿宋" w:hAnsi="仿宋" w:eastAsia="仿宋" w:cs="仿宋"/>
          <w:bCs/>
          <w:color w:val="auto"/>
          <w:kern w:val="1"/>
          <w:sz w:val="24"/>
          <w:szCs w:val="24"/>
        </w:rPr>
        <w:t>具体详见采购文件第三章。</w:t>
      </w:r>
    </w:p>
    <w:p w14:paraId="3225F3AB">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五、合格供应商资格要求：</w:t>
      </w:r>
    </w:p>
    <w:p w14:paraId="7501A36F">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5AE7E1FE">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0CD5B31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7D44C083">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519A5A2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298147B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5FA7E348">
      <w:pPr>
        <w:wordWrap w:val="0"/>
        <w:spacing w:line="360" w:lineRule="auto"/>
        <w:ind w:firstLine="48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7、本项目的特殊资格条件：</w:t>
      </w:r>
    </w:p>
    <w:p w14:paraId="46C731C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（1）供应商须具有国家行政主管部门颁发且在有效期内的《食品经营许可证》。</w:t>
      </w:r>
    </w:p>
    <w:p w14:paraId="62CD52FE">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（2）提供猪肉生产厂商有效的《生猪定点屠宰证》、《动物防疫条件合格证》。</w:t>
      </w:r>
    </w:p>
    <w:p w14:paraId="79F5C0D9">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8、本项目参加采购活动的供应商、法定代表人、主要负责人近三年内不得具有行贿犯罪记录；</w:t>
      </w:r>
    </w:p>
    <w:p w14:paraId="63F43838">
      <w:pPr>
        <w:wordWrap w:val="0"/>
        <w:spacing w:line="360" w:lineRule="auto"/>
        <w:ind w:firstLine="488" w:firstLineChars="200"/>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9、根据《财政部关于</w:t>
      </w:r>
      <w:r>
        <w:rPr>
          <w:rFonts w:hint="eastAsia" w:ascii="仿宋" w:hAnsi="仿宋" w:eastAsia="仿宋" w:cs="仿宋"/>
          <w:color w:val="auto"/>
          <w:sz w:val="24"/>
          <w:szCs w:val="24"/>
        </w:rPr>
        <w:t>在政府采购活动中查询及使用信用记录的通知》（财库[2016]125号）的要求，我院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以联合体形式参加本项目采购活动，联合体成员存在不良信用记录的，视同联合体存在不良信用记录）。</w:t>
      </w:r>
    </w:p>
    <w:p w14:paraId="2B1DB20F">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六、磋商文件获取时间、方式：</w:t>
      </w:r>
    </w:p>
    <w:p w14:paraId="2D44AAA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1、获取时间：</w:t>
      </w:r>
      <w:r>
        <w:rPr>
          <w:rFonts w:hint="eastAsia" w:ascii="仿宋" w:hAnsi="仿宋" w:eastAsia="仿宋" w:cs="仿宋"/>
          <w:color w:val="auto"/>
          <w:kern w:val="1"/>
          <w:sz w:val="24"/>
          <w:szCs w:val="24"/>
          <w:lang w:val="en-US" w:eastAsia="zh-CN"/>
        </w:rPr>
        <w:t>2026年6月2日12:00</w:t>
      </w:r>
      <w:r>
        <w:rPr>
          <w:rFonts w:hint="eastAsia" w:ascii="仿宋" w:hAnsi="仿宋" w:eastAsia="仿宋" w:cs="仿宋"/>
          <w:color w:val="auto"/>
          <w:kern w:val="1"/>
          <w:sz w:val="24"/>
          <w:szCs w:val="24"/>
        </w:rPr>
        <w:t>至</w:t>
      </w:r>
      <w:r>
        <w:rPr>
          <w:rFonts w:hint="eastAsia" w:ascii="仿宋" w:hAnsi="仿宋" w:eastAsia="仿宋" w:cs="仿宋"/>
          <w:color w:val="auto"/>
          <w:kern w:val="1"/>
          <w:sz w:val="24"/>
          <w:szCs w:val="24"/>
          <w:lang w:val="en-US" w:eastAsia="zh-CN"/>
        </w:rPr>
        <w:t>2026</w:t>
      </w:r>
      <w:r>
        <w:rPr>
          <w:rFonts w:hint="eastAsia" w:ascii="仿宋" w:hAnsi="仿宋" w:eastAsia="仿宋" w:cs="仿宋"/>
          <w:color w:val="auto"/>
          <w:kern w:val="1"/>
          <w:sz w:val="24"/>
          <w:szCs w:val="24"/>
        </w:rPr>
        <w:t>年</w:t>
      </w: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月</w:t>
      </w:r>
      <w:r>
        <w:rPr>
          <w:rFonts w:hint="eastAsia" w:ascii="仿宋" w:hAnsi="仿宋" w:eastAsia="仿宋" w:cs="仿宋"/>
          <w:color w:val="auto"/>
          <w:kern w:val="1"/>
          <w:sz w:val="24"/>
          <w:szCs w:val="24"/>
          <w:lang w:val="en-US" w:eastAsia="zh-CN"/>
        </w:rPr>
        <w:t>9</w:t>
      </w:r>
      <w:r>
        <w:rPr>
          <w:rFonts w:hint="eastAsia" w:ascii="仿宋" w:hAnsi="仿宋" w:eastAsia="仿宋" w:cs="仿宋"/>
          <w:color w:val="auto"/>
          <w:kern w:val="1"/>
          <w:sz w:val="24"/>
          <w:szCs w:val="24"/>
        </w:rPr>
        <w:t>日17：00。（北京时间）</w:t>
      </w:r>
    </w:p>
    <w:p w14:paraId="3E530A1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2、磋商文件售价：免费。</w:t>
      </w:r>
    </w:p>
    <w:p w14:paraId="12B76DF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3、供应商请将报名表电子版及盖有鲜章的扫描件</w:t>
      </w:r>
      <w:r>
        <w:rPr>
          <w:rFonts w:hint="eastAsia" w:ascii="仿宋" w:hAnsi="仿宋" w:eastAsia="仿宋" w:cs="仿宋"/>
          <w:color w:val="auto"/>
          <w:kern w:val="1"/>
          <w:sz w:val="24"/>
          <w:szCs w:val="24"/>
          <w:lang w:val="en-US" w:eastAsia="zh-CN"/>
        </w:rPr>
        <w:t>在2026年6月9日17:00前</w:t>
      </w:r>
      <w:r>
        <w:rPr>
          <w:rFonts w:hint="eastAsia" w:ascii="仿宋" w:hAnsi="仿宋" w:eastAsia="仿宋" w:cs="仿宋"/>
          <w:color w:val="auto"/>
          <w:kern w:val="1"/>
          <w:sz w:val="24"/>
          <w:szCs w:val="24"/>
        </w:rPr>
        <w:t>通过电子邮件方式发送至邮箱278938556@qq.com。</w:t>
      </w:r>
    </w:p>
    <w:p w14:paraId="2201C956">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b/>
          <w:color w:val="auto"/>
          <w:kern w:val="1"/>
          <w:sz w:val="24"/>
          <w:szCs w:val="24"/>
        </w:rPr>
        <w:t>七、递交响应文件截止时间：</w:t>
      </w:r>
      <w:r>
        <w:rPr>
          <w:rFonts w:hint="eastAsia" w:ascii="仿宋" w:hAnsi="仿宋" w:eastAsia="仿宋" w:cs="仿宋"/>
          <w:color w:val="auto"/>
          <w:spacing w:val="2"/>
          <w:sz w:val="24"/>
          <w:szCs w:val="24"/>
          <w:lang w:val="en-US" w:eastAsia="zh-CN"/>
        </w:rPr>
        <w:t>2026</w:t>
      </w:r>
      <w:r>
        <w:rPr>
          <w:rFonts w:hint="eastAsia" w:ascii="仿宋" w:hAnsi="仿宋" w:eastAsia="仿宋" w:cs="仿宋"/>
          <w:color w:val="auto"/>
          <w:spacing w:val="2"/>
          <w:sz w:val="24"/>
          <w:szCs w:val="24"/>
        </w:rPr>
        <w:t>年</w:t>
      </w: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月</w:t>
      </w:r>
      <w:r>
        <w:rPr>
          <w:rFonts w:hint="eastAsia" w:ascii="仿宋" w:hAnsi="仿宋" w:eastAsia="仿宋" w:cs="仿宋"/>
          <w:color w:val="auto"/>
          <w:kern w:val="1"/>
          <w:sz w:val="24"/>
          <w:szCs w:val="24"/>
          <w:lang w:val="en-US" w:eastAsia="zh-CN"/>
        </w:rPr>
        <w:t>12</w:t>
      </w:r>
      <w:r>
        <w:rPr>
          <w:rFonts w:hint="eastAsia" w:ascii="仿宋" w:hAnsi="仿宋" w:eastAsia="仿宋" w:cs="仿宋"/>
          <w:color w:val="auto"/>
          <w:kern w:val="1"/>
          <w:sz w:val="24"/>
          <w:szCs w:val="24"/>
        </w:rPr>
        <w:t>日14:</w:t>
      </w:r>
      <w:r>
        <w:rPr>
          <w:rFonts w:hint="eastAsia" w:ascii="仿宋" w:hAnsi="仿宋" w:eastAsia="仿宋" w:cs="仿宋"/>
          <w:color w:val="auto"/>
          <w:spacing w:val="2"/>
          <w:sz w:val="24"/>
          <w:szCs w:val="24"/>
        </w:rPr>
        <w:t>00</w:t>
      </w:r>
      <w:r>
        <w:rPr>
          <w:rFonts w:hint="eastAsia" w:ascii="仿宋" w:hAnsi="仿宋" w:eastAsia="仿宋" w:cs="仿宋"/>
          <w:color w:val="auto"/>
          <w:kern w:val="1"/>
          <w:sz w:val="24"/>
          <w:szCs w:val="24"/>
        </w:rPr>
        <w:t>（北京时间），供应商应于递交响应文件截止时间之前将响应文件送达磋商地点，逾期送达或没有密封的将被拒绝。本次采购项目不接受邮寄的响应文件。</w:t>
      </w:r>
    </w:p>
    <w:p w14:paraId="3995BBB7">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八、磋商时间、</w:t>
      </w:r>
      <w:r>
        <w:rPr>
          <w:rFonts w:hint="eastAsia" w:ascii="仿宋" w:hAnsi="仿宋" w:eastAsia="仿宋" w:cs="仿宋"/>
          <w:b/>
          <w:color w:val="auto"/>
          <w:sz w:val="24"/>
          <w:szCs w:val="24"/>
        </w:rPr>
        <w:t>地点：</w:t>
      </w:r>
      <w:r>
        <w:rPr>
          <w:rFonts w:hint="eastAsia" w:ascii="仿宋" w:hAnsi="仿宋" w:eastAsia="仿宋" w:cs="仿宋"/>
          <w:color w:val="auto"/>
          <w:spacing w:val="2"/>
          <w:sz w:val="24"/>
          <w:szCs w:val="24"/>
          <w:lang w:val="en-US" w:eastAsia="zh-CN"/>
        </w:rPr>
        <w:t>2026</w:t>
      </w:r>
      <w:r>
        <w:rPr>
          <w:rFonts w:hint="eastAsia" w:ascii="仿宋" w:hAnsi="仿宋" w:eastAsia="仿宋" w:cs="仿宋"/>
          <w:color w:val="auto"/>
          <w:spacing w:val="2"/>
          <w:sz w:val="24"/>
          <w:szCs w:val="24"/>
        </w:rPr>
        <w:t>年</w:t>
      </w: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月</w:t>
      </w:r>
      <w:r>
        <w:rPr>
          <w:rFonts w:hint="eastAsia" w:ascii="仿宋" w:hAnsi="仿宋" w:eastAsia="仿宋" w:cs="仿宋"/>
          <w:color w:val="auto"/>
          <w:kern w:val="1"/>
          <w:sz w:val="24"/>
          <w:szCs w:val="24"/>
          <w:lang w:val="en-US" w:eastAsia="zh-CN"/>
        </w:rPr>
        <w:t>12</w:t>
      </w:r>
      <w:r>
        <w:rPr>
          <w:rFonts w:hint="eastAsia" w:ascii="仿宋" w:hAnsi="仿宋" w:eastAsia="仿宋" w:cs="仿宋"/>
          <w:color w:val="auto"/>
          <w:kern w:val="1"/>
          <w:sz w:val="24"/>
          <w:szCs w:val="24"/>
        </w:rPr>
        <w:t>日14:</w:t>
      </w:r>
      <w:r>
        <w:rPr>
          <w:rFonts w:hint="eastAsia" w:ascii="仿宋" w:hAnsi="仿宋" w:eastAsia="仿宋" w:cs="仿宋"/>
          <w:color w:val="auto"/>
          <w:spacing w:val="2"/>
          <w:sz w:val="24"/>
          <w:szCs w:val="24"/>
        </w:rPr>
        <w:t>00</w:t>
      </w:r>
      <w:r>
        <w:rPr>
          <w:rFonts w:hint="eastAsia" w:ascii="仿宋" w:hAnsi="仿宋" w:eastAsia="仿宋" w:cs="仿宋"/>
          <w:color w:val="auto"/>
          <w:kern w:val="1"/>
          <w:sz w:val="24"/>
          <w:szCs w:val="24"/>
        </w:rPr>
        <w:t>（北京时间）</w:t>
      </w:r>
      <w:r>
        <w:rPr>
          <w:rFonts w:hint="eastAsia" w:ascii="仿宋" w:hAnsi="仿宋" w:eastAsia="仿宋" w:cs="仿宋"/>
          <w:color w:val="auto"/>
          <w:sz w:val="24"/>
          <w:szCs w:val="24"/>
        </w:rPr>
        <w:t>，成都市温江区星艺大道188号四川商务职业学院善培楼305室。</w:t>
      </w:r>
    </w:p>
    <w:p w14:paraId="404F1C4B">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九、本项目相关信息在四川招投标网（https://www.zbytb.com/scbid/）及学院官网（http://</w:t>
      </w:r>
      <w:r>
        <w:rPr>
          <w:rFonts w:hint="eastAsia" w:ascii="仿宋" w:hAnsi="仿宋" w:eastAsia="仿宋" w:cs="仿宋"/>
          <w:b/>
          <w:color w:val="auto"/>
          <w:kern w:val="1"/>
          <w:sz w:val="24"/>
          <w:szCs w:val="24"/>
          <w:lang w:eastAsia="zh-CN"/>
        </w:rPr>
        <w:t>www.scswcw.cn</w:t>
      </w:r>
      <w:r>
        <w:rPr>
          <w:rFonts w:hint="eastAsia" w:ascii="仿宋" w:hAnsi="仿宋" w:eastAsia="仿宋" w:cs="仿宋"/>
          <w:b/>
          <w:color w:val="auto"/>
          <w:kern w:val="1"/>
          <w:sz w:val="24"/>
          <w:szCs w:val="24"/>
        </w:rPr>
        <w:t>/list-23-1.html）上公示。</w:t>
      </w:r>
    </w:p>
    <w:p w14:paraId="35FD47A8">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十、联系方式：</w:t>
      </w:r>
    </w:p>
    <w:p w14:paraId="50B2CCC6">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采购人：四川商务职业学院</w:t>
      </w:r>
    </w:p>
    <w:p w14:paraId="7666B2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地址：成都市温江区和盛镇星艺大道188号</w:t>
      </w:r>
    </w:p>
    <w:p w14:paraId="5CD9D7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联系人：梁老师</w:t>
      </w:r>
    </w:p>
    <w:p w14:paraId="2C293F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联系电话：028-61935175</w:t>
      </w:r>
    </w:p>
    <w:p w14:paraId="64561E4B">
      <w:pPr>
        <w:widowControl/>
        <w:wordWrap w:val="0"/>
        <w:spacing w:line="360" w:lineRule="auto"/>
        <w:ind w:firstLine="480" w:firstLineChars="200"/>
        <w:jc w:val="left"/>
        <w:rPr>
          <w:rFonts w:hint="eastAsia" w:ascii="仿宋" w:hAnsi="仿宋" w:eastAsia="仿宋" w:cs="仿宋"/>
          <w:color w:val="auto"/>
          <w:sz w:val="24"/>
          <w:szCs w:val="24"/>
        </w:rPr>
      </w:pPr>
    </w:p>
    <w:p w14:paraId="56D52253"/>
    <w:p w14:paraId="4992A664">
      <w:pPr>
        <w:pStyle w:val="4"/>
        <w:wordWrap w:val="0"/>
        <w:spacing w:before="0" w:after="0" w:line="360" w:lineRule="auto"/>
        <w:rPr>
          <w:rFonts w:hint="eastAsia" w:ascii="仿宋" w:hAnsi="仿宋" w:eastAsia="仿宋" w:cs="仿宋"/>
          <w:color w:val="auto"/>
        </w:rPr>
      </w:pPr>
      <w:bookmarkStart w:id="61" w:name="_GoBack"/>
      <w:bookmarkEnd w:id="61"/>
      <w:r>
        <w:rPr>
          <w:rFonts w:hint="eastAsia" w:ascii="仿宋" w:hAnsi="仿宋" w:eastAsia="仿宋" w:cs="仿宋"/>
          <w:color w:val="auto"/>
          <w:sz w:val="24"/>
          <w:szCs w:val="24"/>
        </w:rPr>
        <w:br w:type="page"/>
      </w:r>
      <w:bookmarkStart w:id="3" w:name="_Toc10768"/>
      <w:r>
        <w:rPr>
          <w:rFonts w:hint="eastAsia" w:ascii="仿宋" w:hAnsi="仿宋" w:eastAsia="仿宋" w:cs="仿宋"/>
          <w:color w:val="auto"/>
        </w:rPr>
        <w:t>第二章 供应商须知</w:t>
      </w:r>
      <w:bookmarkEnd w:id="3"/>
    </w:p>
    <w:p w14:paraId="1A0614CF">
      <w:pPr>
        <w:pStyle w:val="5"/>
        <w:wordWrap w:val="0"/>
        <w:spacing w:before="0" w:after="0" w:line="360" w:lineRule="auto"/>
        <w:rPr>
          <w:rFonts w:hint="eastAsia" w:ascii="仿宋" w:hAnsi="仿宋" w:eastAsia="仿宋" w:cs="仿宋"/>
          <w:bCs/>
          <w:color w:val="auto"/>
          <w:kern w:val="2"/>
        </w:rPr>
      </w:pPr>
      <w:bookmarkStart w:id="4" w:name="_Toc5810"/>
      <w:bookmarkStart w:id="5" w:name="_Toc7401"/>
      <w:bookmarkStart w:id="6" w:name="_Toc3521"/>
      <w:r>
        <w:rPr>
          <w:rFonts w:hint="eastAsia" w:ascii="仿宋" w:hAnsi="仿宋" w:eastAsia="仿宋" w:cs="仿宋"/>
          <w:bCs/>
          <w:color w:val="auto"/>
          <w:kern w:val="2"/>
        </w:rPr>
        <w:t>一、</w:t>
      </w:r>
      <w:bookmarkEnd w:id="4"/>
      <w:bookmarkEnd w:id="5"/>
      <w:bookmarkEnd w:id="6"/>
      <w:r>
        <w:rPr>
          <w:rFonts w:hint="eastAsia" w:ascii="仿宋" w:hAnsi="仿宋" w:eastAsia="仿宋" w:cs="仿宋"/>
          <w:bCs/>
          <w:color w:val="auto"/>
          <w:kern w:val="2"/>
        </w:rPr>
        <w:t>磋商须知附表</w:t>
      </w:r>
    </w:p>
    <w:tbl>
      <w:tblPr>
        <w:tblStyle w:val="34"/>
        <w:tblW w:w="9789" w:type="dxa"/>
        <w:jc w:val="center"/>
        <w:tblLayout w:type="fixed"/>
        <w:tblCellMar>
          <w:top w:w="0" w:type="dxa"/>
          <w:left w:w="0" w:type="dxa"/>
          <w:bottom w:w="0" w:type="dxa"/>
          <w:right w:w="0" w:type="dxa"/>
        </w:tblCellMar>
      </w:tblPr>
      <w:tblGrid>
        <w:gridCol w:w="799"/>
        <w:gridCol w:w="1736"/>
        <w:gridCol w:w="7254"/>
      </w:tblGrid>
      <w:tr w14:paraId="2BF8AC29">
        <w:tblPrEx>
          <w:tblCellMar>
            <w:top w:w="0" w:type="dxa"/>
            <w:left w:w="0" w:type="dxa"/>
            <w:bottom w:w="0" w:type="dxa"/>
            <w:right w:w="0" w:type="dxa"/>
          </w:tblCellMar>
        </w:tblPrEx>
        <w:trPr>
          <w:trHeight w:val="595" w:hRule="atLeast"/>
          <w:jc w:val="center"/>
        </w:trPr>
        <w:tc>
          <w:tcPr>
            <w:tcW w:w="799" w:type="dxa"/>
            <w:tcBorders>
              <w:top w:val="double" w:color="000000" w:sz="4" w:space="0"/>
              <w:left w:val="double" w:color="000000" w:sz="4" w:space="0"/>
              <w:bottom w:val="single" w:color="000000" w:sz="4" w:space="0"/>
              <w:right w:val="single" w:color="000000" w:sz="4" w:space="0"/>
            </w:tcBorders>
            <w:noWrap/>
            <w:vAlign w:val="center"/>
          </w:tcPr>
          <w:p w14:paraId="765911CD">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736" w:type="dxa"/>
            <w:tcBorders>
              <w:top w:val="double" w:color="000000" w:sz="4" w:space="0"/>
              <w:left w:val="single" w:color="000000" w:sz="4" w:space="0"/>
              <w:bottom w:val="single" w:color="000000" w:sz="4" w:space="0"/>
              <w:right w:val="single" w:color="000000" w:sz="4" w:space="0"/>
            </w:tcBorders>
            <w:noWrap/>
            <w:vAlign w:val="center"/>
          </w:tcPr>
          <w:p w14:paraId="520CE60C">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7254" w:type="dxa"/>
            <w:tcBorders>
              <w:top w:val="double" w:color="000000" w:sz="4" w:space="0"/>
              <w:left w:val="single" w:color="000000" w:sz="4" w:space="0"/>
              <w:bottom w:val="single" w:color="000000" w:sz="4" w:space="0"/>
              <w:right w:val="double" w:color="000000" w:sz="4" w:space="0"/>
            </w:tcBorders>
            <w:noWrap/>
            <w:vAlign w:val="center"/>
          </w:tcPr>
          <w:p w14:paraId="53E24EDF">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说明和要求</w:t>
            </w:r>
          </w:p>
        </w:tc>
      </w:tr>
      <w:tr w14:paraId="2FE6AB37">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auto" w:sz="4" w:space="0"/>
              <w:right w:val="single" w:color="000000" w:sz="4" w:space="0"/>
            </w:tcBorders>
            <w:noWrap/>
            <w:vAlign w:val="center"/>
          </w:tcPr>
          <w:p w14:paraId="7DF170FD">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p>
        </w:tc>
        <w:tc>
          <w:tcPr>
            <w:tcW w:w="1736" w:type="dxa"/>
            <w:tcBorders>
              <w:top w:val="single" w:color="000000" w:sz="4" w:space="0"/>
              <w:left w:val="single" w:color="000000" w:sz="4" w:space="0"/>
              <w:bottom w:val="single" w:color="auto" w:sz="4" w:space="0"/>
              <w:right w:val="single" w:color="000000" w:sz="4" w:space="0"/>
            </w:tcBorders>
            <w:noWrap/>
            <w:vAlign w:val="center"/>
          </w:tcPr>
          <w:p w14:paraId="3288A0C8">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采购预算</w:t>
            </w:r>
          </w:p>
          <w:p w14:paraId="3E8CF0B3">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3FFAC6EA">
            <w:pPr>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sz w:val="24"/>
                <w:szCs w:val="24"/>
              </w:rPr>
              <w:t>采购预算：</w:t>
            </w: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2</w:t>
            </w:r>
            <w:r>
              <w:rPr>
                <w:rFonts w:hint="eastAsia" w:ascii="仿宋" w:hAnsi="仿宋" w:eastAsia="仿宋" w:cs="仿宋"/>
                <w:color w:val="auto"/>
                <w:kern w:val="1"/>
                <w:sz w:val="24"/>
                <w:szCs w:val="24"/>
              </w:rPr>
              <w:t>万元；</w:t>
            </w:r>
          </w:p>
          <w:p w14:paraId="12ADC837">
            <w:pPr>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超过采购预算的报价，其响应文件作无效处理</w:t>
            </w:r>
          </w:p>
        </w:tc>
      </w:tr>
      <w:tr w14:paraId="1E05F948">
        <w:tblPrEx>
          <w:tblCellMar>
            <w:top w:w="0" w:type="dxa"/>
            <w:left w:w="0" w:type="dxa"/>
            <w:bottom w:w="0" w:type="dxa"/>
            <w:right w:w="0" w:type="dxa"/>
          </w:tblCellMar>
        </w:tblPrEx>
        <w:trPr>
          <w:trHeight w:val="1097" w:hRule="atLeast"/>
          <w:jc w:val="center"/>
        </w:trPr>
        <w:tc>
          <w:tcPr>
            <w:tcW w:w="799" w:type="dxa"/>
            <w:tcBorders>
              <w:top w:val="single" w:color="auto" w:sz="4" w:space="0"/>
              <w:left w:val="double" w:color="000000" w:sz="4" w:space="0"/>
              <w:bottom w:val="single" w:color="auto" w:sz="4" w:space="0"/>
              <w:right w:val="single" w:color="000000" w:sz="4" w:space="0"/>
            </w:tcBorders>
            <w:noWrap/>
            <w:vAlign w:val="center"/>
          </w:tcPr>
          <w:p w14:paraId="3F43308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36" w:type="dxa"/>
            <w:tcBorders>
              <w:top w:val="single" w:color="auto" w:sz="4" w:space="0"/>
              <w:left w:val="single" w:color="000000" w:sz="4" w:space="0"/>
              <w:bottom w:val="single" w:color="auto" w:sz="4" w:space="0"/>
              <w:right w:val="single" w:color="000000" w:sz="4" w:space="0"/>
            </w:tcBorders>
            <w:noWrap/>
            <w:vAlign w:val="center"/>
          </w:tcPr>
          <w:p w14:paraId="0FA972D4">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最高限价</w:t>
            </w:r>
          </w:p>
          <w:p w14:paraId="72A6E2F0">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auto" w:sz="4" w:space="0"/>
              <w:right w:val="double" w:color="000000" w:sz="4" w:space="0"/>
            </w:tcBorders>
            <w:noWrap/>
            <w:vAlign w:val="center"/>
          </w:tcPr>
          <w:p w14:paraId="075D0CAC">
            <w:pPr>
              <w:pStyle w:val="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本项目最高限价：1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万元；</w:t>
            </w:r>
          </w:p>
          <w:p w14:paraId="17BBE326">
            <w:pPr>
              <w:pStyle w:val="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超过最高限价的报价，其响应文件作无效处理</w:t>
            </w:r>
          </w:p>
        </w:tc>
      </w:tr>
      <w:tr w14:paraId="70E3B147">
        <w:tblPrEx>
          <w:tblCellMar>
            <w:top w:w="0" w:type="dxa"/>
            <w:left w:w="0" w:type="dxa"/>
            <w:bottom w:w="0" w:type="dxa"/>
            <w:right w:w="0" w:type="dxa"/>
          </w:tblCellMar>
        </w:tblPrEx>
        <w:trPr>
          <w:trHeight w:val="523" w:hRule="atLeast"/>
          <w:jc w:val="center"/>
        </w:trPr>
        <w:tc>
          <w:tcPr>
            <w:tcW w:w="799" w:type="dxa"/>
            <w:tcBorders>
              <w:top w:val="single" w:color="auto" w:sz="4" w:space="0"/>
              <w:left w:val="double" w:color="000000" w:sz="4" w:space="0"/>
              <w:bottom w:val="single" w:color="000000" w:sz="4" w:space="0"/>
              <w:right w:val="single" w:color="000000" w:sz="4" w:space="0"/>
            </w:tcBorders>
            <w:noWrap/>
            <w:vAlign w:val="center"/>
          </w:tcPr>
          <w:p w14:paraId="6638F5C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736" w:type="dxa"/>
            <w:tcBorders>
              <w:top w:val="single" w:color="auto" w:sz="4" w:space="0"/>
              <w:left w:val="single" w:color="000000" w:sz="4" w:space="0"/>
              <w:bottom w:val="single" w:color="000000" w:sz="4" w:space="0"/>
              <w:right w:val="single" w:color="000000" w:sz="4" w:space="0"/>
            </w:tcBorders>
            <w:noWrap/>
            <w:vAlign w:val="center"/>
          </w:tcPr>
          <w:p w14:paraId="3239BD18">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项目属性</w:t>
            </w:r>
          </w:p>
        </w:tc>
        <w:tc>
          <w:tcPr>
            <w:tcW w:w="7254" w:type="dxa"/>
            <w:tcBorders>
              <w:top w:val="single" w:color="auto" w:sz="4" w:space="0"/>
              <w:left w:val="single" w:color="000000" w:sz="4" w:space="0"/>
              <w:bottom w:val="single" w:color="000000" w:sz="4" w:space="0"/>
              <w:right w:val="double" w:color="000000" w:sz="4" w:space="0"/>
            </w:tcBorders>
            <w:noWrap/>
            <w:vAlign w:val="center"/>
          </w:tcPr>
          <w:p w14:paraId="6C18077A">
            <w:pPr>
              <w:pStyle w:val="2"/>
              <w:wordWrap w:val="0"/>
              <w:spacing w:after="0"/>
              <w:rPr>
                <w:rFonts w:hint="eastAsia" w:ascii="仿宋" w:hAnsi="仿宋" w:eastAsia="仿宋" w:cs="仿宋"/>
                <w:color w:val="auto"/>
                <w:sz w:val="24"/>
                <w:szCs w:val="24"/>
              </w:rPr>
            </w:pPr>
            <w:r>
              <w:rPr>
                <w:rFonts w:hint="eastAsia" w:ascii="仿宋" w:hAnsi="仿宋" w:eastAsia="仿宋" w:cs="仿宋"/>
                <w:color w:val="auto"/>
                <w:sz w:val="24"/>
                <w:szCs w:val="24"/>
              </w:rPr>
              <w:t>服务</w:t>
            </w:r>
          </w:p>
        </w:tc>
      </w:tr>
      <w:tr w14:paraId="57ED7BC3">
        <w:tblPrEx>
          <w:tblCellMar>
            <w:top w:w="0" w:type="dxa"/>
            <w:left w:w="0" w:type="dxa"/>
            <w:bottom w:w="0" w:type="dxa"/>
            <w:right w:w="0" w:type="dxa"/>
          </w:tblCellMar>
        </w:tblPrEx>
        <w:trPr>
          <w:trHeight w:val="1960" w:hRule="atLeast"/>
          <w:jc w:val="center"/>
        </w:trPr>
        <w:tc>
          <w:tcPr>
            <w:tcW w:w="799" w:type="dxa"/>
            <w:tcBorders>
              <w:top w:val="single" w:color="000000" w:sz="4" w:space="0"/>
              <w:left w:val="double" w:color="000000" w:sz="4" w:space="0"/>
              <w:bottom w:val="single" w:color="auto" w:sz="4" w:space="0"/>
              <w:right w:val="single" w:color="000000" w:sz="4" w:space="0"/>
            </w:tcBorders>
            <w:noWrap/>
            <w:vAlign w:val="center"/>
          </w:tcPr>
          <w:p w14:paraId="6A14E89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736" w:type="dxa"/>
            <w:tcBorders>
              <w:top w:val="single" w:color="000000" w:sz="4" w:space="0"/>
              <w:left w:val="single" w:color="000000" w:sz="4" w:space="0"/>
              <w:bottom w:val="single" w:color="auto" w:sz="4" w:space="0"/>
              <w:right w:val="single" w:color="000000" w:sz="4" w:space="0"/>
            </w:tcBorders>
            <w:noWrap/>
            <w:vAlign w:val="center"/>
          </w:tcPr>
          <w:p w14:paraId="3F2C46DE">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低于成本价不正当竞争预防措施（实质性要求）</w:t>
            </w:r>
          </w:p>
        </w:tc>
        <w:tc>
          <w:tcPr>
            <w:tcW w:w="7254" w:type="dxa"/>
            <w:tcBorders>
              <w:top w:val="single" w:color="000000" w:sz="4" w:space="0"/>
              <w:left w:val="single" w:color="000000" w:sz="4" w:space="0"/>
              <w:bottom w:val="single" w:color="auto" w:sz="4" w:space="0"/>
              <w:right w:val="double" w:color="000000" w:sz="4" w:space="0"/>
            </w:tcBorders>
            <w:noWrap/>
            <w:vAlign w:val="center"/>
          </w:tcPr>
          <w:p w14:paraId="20A79435">
            <w:pPr>
              <w:pStyle w:val="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在评审过程中，磋商小组认为供应商的报价明显低于其他通过资格性审查的供应商报价，有可能影响产品质量或者不能诚信履约的，应当要求其在评审现场合理的时间内提供书面说明，必要时提交相关证明材料；供应商不能证明其报价的合理性，磋商小组应当将其作为无效报价处理。</w:t>
            </w:r>
          </w:p>
        </w:tc>
      </w:tr>
      <w:tr w14:paraId="7EBFBC16">
        <w:tblPrEx>
          <w:tblCellMar>
            <w:top w:w="0" w:type="dxa"/>
            <w:left w:w="0" w:type="dxa"/>
            <w:bottom w:w="0" w:type="dxa"/>
            <w:right w:w="0" w:type="dxa"/>
          </w:tblCellMar>
        </w:tblPrEx>
        <w:trPr>
          <w:trHeight w:val="565"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4CB1BEC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9EFE6ED">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评审情况公告</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637AF2C1">
            <w:pPr>
              <w:widowControl/>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本项目评审结果将在四川招投标网（https://www.zbytb.com/scbid/）及学院官网（http://</w:t>
            </w:r>
            <w:r>
              <w:rPr>
                <w:rFonts w:hint="eastAsia" w:ascii="仿宋" w:hAnsi="仿宋" w:eastAsia="仿宋" w:cs="仿宋"/>
                <w:color w:val="auto"/>
                <w:kern w:val="1"/>
                <w:sz w:val="24"/>
                <w:szCs w:val="24"/>
                <w:lang w:eastAsia="zh-CN"/>
              </w:rPr>
              <w:t>www.scswcw.cn</w:t>
            </w:r>
            <w:r>
              <w:rPr>
                <w:rFonts w:hint="eastAsia" w:ascii="仿宋" w:hAnsi="仿宋" w:eastAsia="仿宋" w:cs="仿宋"/>
                <w:color w:val="auto"/>
                <w:kern w:val="1"/>
                <w:sz w:val="24"/>
                <w:szCs w:val="24"/>
              </w:rPr>
              <w:t>/list-23-1.html）上采购结果公告栏中予以公告。</w:t>
            </w:r>
          </w:p>
        </w:tc>
      </w:tr>
      <w:tr w14:paraId="569760BD">
        <w:tblPrEx>
          <w:tblCellMar>
            <w:top w:w="0" w:type="dxa"/>
            <w:left w:w="0" w:type="dxa"/>
            <w:bottom w:w="0" w:type="dxa"/>
            <w:right w:w="0" w:type="dxa"/>
          </w:tblCellMar>
        </w:tblPrEx>
        <w:trPr>
          <w:trHeight w:val="90"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1C9FA05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2D7D9BE">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磋商保证金</w:t>
            </w:r>
          </w:p>
          <w:p w14:paraId="1DC90C37">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44E66AAE">
            <w:pPr>
              <w:wordWrap w:val="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本项目不收取。</w:t>
            </w:r>
          </w:p>
        </w:tc>
      </w:tr>
      <w:tr w14:paraId="00A844C9">
        <w:tblPrEx>
          <w:tblCellMar>
            <w:top w:w="0" w:type="dxa"/>
            <w:left w:w="0" w:type="dxa"/>
            <w:bottom w:w="0" w:type="dxa"/>
            <w:right w:w="0" w:type="dxa"/>
          </w:tblCellMar>
        </w:tblPrEx>
        <w:trPr>
          <w:trHeight w:val="90"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08671019">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4E155F6">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zh-CN"/>
              </w:rPr>
              <w:t>履约保证金</w:t>
            </w:r>
          </w:p>
          <w:p w14:paraId="03ABB821">
            <w:pPr>
              <w:wordWrap w:val="0"/>
              <w:jc w:val="center"/>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6DC383E8">
            <w:pPr>
              <w:wordWrap w:val="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本项目不收取。</w:t>
            </w:r>
          </w:p>
        </w:tc>
      </w:tr>
      <w:tr w14:paraId="2665CD39">
        <w:tblPrEx>
          <w:tblCellMar>
            <w:top w:w="0" w:type="dxa"/>
            <w:left w:w="0" w:type="dxa"/>
            <w:bottom w:w="0" w:type="dxa"/>
            <w:right w:w="0" w:type="dxa"/>
          </w:tblCellMar>
        </w:tblPrEx>
        <w:trPr>
          <w:trHeight w:val="260" w:hRule="atLeast"/>
          <w:jc w:val="center"/>
        </w:trPr>
        <w:tc>
          <w:tcPr>
            <w:tcW w:w="799" w:type="dxa"/>
            <w:tcBorders>
              <w:top w:val="single" w:color="000000" w:sz="4" w:space="0"/>
              <w:left w:val="double" w:color="000000" w:sz="4" w:space="0"/>
              <w:bottom w:val="single" w:color="auto" w:sz="4" w:space="0"/>
              <w:right w:val="single" w:color="000000" w:sz="4" w:space="0"/>
            </w:tcBorders>
            <w:noWrap/>
            <w:vAlign w:val="center"/>
          </w:tcPr>
          <w:p w14:paraId="52637CE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736" w:type="dxa"/>
            <w:tcBorders>
              <w:top w:val="single" w:color="000000" w:sz="4" w:space="0"/>
              <w:left w:val="single" w:color="000000" w:sz="4" w:space="0"/>
              <w:bottom w:val="single" w:color="auto" w:sz="4" w:space="0"/>
              <w:right w:val="single" w:color="000000" w:sz="4" w:space="0"/>
            </w:tcBorders>
            <w:noWrap/>
            <w:vAlign w:val="center"/>
          </w:tcPr>
          <w:p w14:paraId="4DBB985D">
            <w:pPr>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合同分包</w:t>
            </w:r>
          </w:p>
          <w:p w14:paraId="30D1030D">
            <w:pPr>
              <w:jc w:val="center"/>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auto" w:sz="4" w:space="0"/>
              <w:right w:val="double" w:color="000000" w:sz="4" w:space="0"/>
            </w:tcBorders>
            <w:noWrap/>
            <w:vAlign w:val="center"/>
          </w:tcPr>
          <w:p w14:paraId="5D6EC657">
            <w:pPr>
              <w:widowControl/>
              <w:spacing w:line="360" w:lineRule="auto"/>
              <w:rPr>
                <w:rFonts w:hint="eastAsia" w:ascii="仿宋" w:hAnsi="仿宋" w:eastAsia="仿宋" w:cs="仿宋"/>
                <w:color w:val="auto"/>
                <w:sz w:val="24"/>
                <w:szCs w:val="24"/>
              </w:rPr>
            </w:pPr>
            <w:r>
              <w:rPr>
                <w:rFonts w:ascii="Segoe UI Symbol" w:hAnsi="Segoe UI Symbol" w:eastAsia="仿宋" w:cs="Segoe UI Symbol"/>
                <w:color w:val="auto"/>
                <w:sz w:val="24"/>
                <w:szCs w:val="24"/>
              </w:rPr>
              <w:t>☑</w:t>
            </w:r>
            <w:r>
              <w:rPr>
                <w:rFonts w:hint="eastAsia" w:ascii="仿宋" w:hAnsi="仿宋" w:eastAsia="仿宋" w:cs="仿宋"/>
                <w:color w:val="auto"/>
                <w:sz w:val="24"/>
                <w:szCs w:val="24"/>
              </w:rPr>
              <w:t xml:space="preserve"> 本项目不接受合同分包。</w:t>
            </w:r>
          </w:p>
          <w:p w14:paraId="7DBBCF6B">
            <w:pPr>
              <w:widowControl/>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本项目接受合同分包，具体要求如下：</w:t>
            </w:r>
          </w:p>
          <w:p w14:paraId="29113794">
            <w:pPr>
              <w:widowControl/>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供应商根据磋商文件的规定和采购项目的实际情况，拟在成交后将成交的非主体、非关键性工作分包的，应当在响应文件中事前载明。分包供应商履行的分包项目的品牌、规格型号及技术要求等，必须与中成交的一致。</w:t>
            </w:r>
          </w:p>
          <w:p w14:paraId="148DFE69">
            <w:pPr>
              <w:widowControl/>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rPr>
              <w:t>（2）分包履行合同的部分应当为采购项目的非主体，非关键性工作，不属于成交人的主要合同义务。本项目可以分包履行的具体内容，金额或比例。</w:t>
            </w:r>
          </w:p>
        </w:tc>
      </w:tr>
      <w:tr w14:paraId="01CC30BD">
        <w:tblPrEx>
          <w:tblCellMar>
            <w:top w:w="0" w:type="dxa"/>
            <w:left w:w="0" w:type="dxa"/>
            <w:bottom w:w="0" w:type="dxa"/>
            <w:right w:w="0" w:type="dxa"/>
          </w:tblCellMar>
        </w:tblPrEx>
        <w:trPr>
          <w:trHeight w:val="506" w:hRule="atLeast"/>
          <w:jc w:val="center"/>
        </w:trPr>
        <w:tc>
          <w:tcPr>
            <w:tcW w:w="799" w:type="dxa"/>
            <w:tcBorders>
              <w:top w:val="single" w:color="auto" w:sz="4" w:space="0"/>
              <w:left w:val="double" w:color="000000" w:sz="4" w:space="0"/>
              <w:bottom w:val="single" w:color="000000" w:sz="4" w:space="0"/>
              <w:right w:val="single" w:color="000000" w:sz="4" w:space="0"/>
            </w:tcBorders>
            <w:noWrap/>
            <w:vAlign w:val="center"/>
          </w:tcPr>
          <w:p w14:paraId="2A7EDDB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736" w:type="dxa"/>
            <w:tcBorders>
              <w:top w:val="single" w:color="auto" w:sz="4" w:space="0"/>
              <w:left w:val="single" w:color="000000" w:sz="4" w:space="0"/>
              <w:bottom w:val="single" w:color="000000" w:sz="4" w:space="0"/>
              <w:right w:val="single" w:color="000000" w:sz="4" w:space="0"/>
            </w:tcBorders>
            <w:noWrap/>
            <w:vAlign w:val="center"/>
          </w:tcPr>
          <w:p w14:paraId="600BD545">
            <w:pPr>
              <w:jc w:val="center"/>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联合体投标</w:t>
            </w:r>
          </w:p>
          <w:p w14:paraId="4101AF94">
            <w:pPr>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zh-CN"/>
              </w:rPr>
              <w:t>（实质性要求）</w:t>
            </w:r>
          </w:p>
        </w:tc>
        <w:tc>
          <w:tcPr>
            <w:tcW w:w="7254" w:type="dxa"/>
            <w:tcBorders>
              <w:top w:val="single" w:color="auto" w:sz="4" w:space="0"/>
              <w:left w:val="single" w:color="000000" w:sz="4" w:space="0"/>
              <w:bottom w:val="single" w:color="000000" w:sz="4" w:space="0"/>
              <w:right w:val="double" w:color="000000" w:sz="4" w:space="0"/>
            </w:tcBorders>
            <w:noWrap/>
            <w:vAlign w:val="center"/>
          </w:tcPr>
          <w:p w14:paraId="78B98FBD">
            <w:pPr>
              <w:widowControl/>
              <w:rPr>
                <w:rFonts w:hint="eastAsia" w:ascii="仿宋" w:hAnsi="仿宋" w:eastAsia="仿宋" w:cs="仿宋"/>
                <w:color w:val="auto"/>
                <w:sz w:val="24"/>
                <w:szCs w:val="24"/>
              </w:rPr>
            </w:pPr>
            <w:r>
              <w:rPr>
                <w:rFonts w:hint="eastAsia" w:ascii="仿宋" w:hAnsi="仿宋" w:eastAsia="仿宋" w:cs="仿宋"/>
                <w:color w:val="auto"/>
                <w:sz w:val="24"/>
                <w:szCs w:val="24"/>
              </w:rPr>
              <w:t>不接受</w:t>
            </w:r>
          </w:p>
        </w:tc>
      </w:tr>
      <w:tr w14:paraId="28690ECA">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1176658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620CB1A">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磋商文件咨询</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331C68A2">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联系人：梁老师；</w:t>
            </w:r>
          </w:p>
          <w:p w14:paraId="63E6CD91">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tc>
      </w:tr>
      <w:tr w14:paraId="6F0CD99D">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6169306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B73A5A9">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磋商会、评审工作咨询</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3EA6F2A0">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联系人：梁老师；</w:t>
            </w:r>
          </w:p>
          <w:p w14:paraId="25B6C0BD">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tc>
      </w:tr>
      <w:tr w14:paraId="66F20180">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5B055CC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7C48113">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成交通知书领取</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4898A6BF">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成交公告在四川招投标网（https://www.zbytb.com/scbid/）及学院官网（http://</w:t>
            </w:r>
            <w:r>
              <w:rPr>
                <w:rFonts w:hint="eastAsia" w:ascii="仿宋" w:hAnsi="仿宋" w:eastAsia="仿宋" w:cs="仿宋"/>
                <w:color w:val="auto"/>
                <w:sz w:val="24"/>
                <w:szCs w:val="24"/>
                <w:lang w:eastAsia="zh-CN"/>
              </w:rPr>
              <w:t>www.scswcw.cn</w:t>
            </w:r>
            <w:r>
              <w:rPr>
                <w:rFonts w:hint="eastAsia" w:ascii="仿宋" w:hAnsi="仿宋" w:eastAsia="仿宋" w:cs="仿宋"/>
                <w:color w:val="auto"/>
                <w:sz w:val="24"/>
                <w:szCs w:val="24"/>
              </w:rPr>
              <w:t>/list-23-1.html）上公告后，请成交供应商凭有效身份证件到四川商务职业学院领取成交通知书。</w:t>
            </w:r>
          </w:p>
          <w:p w14:paraId="2341B625">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联系人：梁老师</w:t>
            </w:r>
          </w:p>
          <w:p w14:paraId="2AF56B3B">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p w14:paraId="241F7C58">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地址：成都市温江区星艺大道188号四川商务职业学院善培楼305室</w:t>
            </w:r>
          </w:p>
        </w:tc>
      </w:tr>
      <w:tr w14:paraId="29FCC92B">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6D307AE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7E86707">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供应商询问</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29C579D8">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由四川商务职业学院依法受理和回复。</w:t>
            </w:r>
          </w:p>
          <w:p w14:paraId="17E02884">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 系 人：梁老师</w:t>
            </w:r>
          </w:p>
          <w:p w14:paraId="0D7F09A7">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p w14:paraId="5DA1F9E6">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地址：成都市温江区星艺大道188号四川商务职业学院善培楼305室</w:t>
            </w:r>
          </w:p>
        </w:tc>
      </w:tr>
      <w:tr w14:paraId="05A99CDA">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61BE3D94">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A4D3121">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供应商质疑</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5E629B13">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供应商应当直接向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依法提出，并由四川商务职业学院依法受理和回复。</w:t>
            </w:r>
          </w:p>
          <w:p w14:paraId="07E40AD0">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 系 人：梁老师</w:t>
            </w:r>
          </w:p>
          <w:p w14:paraId="527F780C">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p w14:paraId="7F2D3DD2">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地址：成都市温江区星艺大道188号四川商务职业学院善培楼305室</w:t>
            </w:r>
          </w:p>
        </w:tc>
      </w:tr>
      <w:tr w14:paraId="6959AA1F">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56F2F88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2359974">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代理服务费</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63F92DA9">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本项目不收取</w:t>
            </w:r>
          </w:p>
        </w:tc>
      </w:tr>
    </w:tbl>
    <w:p w14:paraId="2FE05F86">
      <w:pPr>
        <w:pStyle w:val="5"/>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7" w:name="_Toc2966"/>
      <w:bookmarkStart w:id="8" w:name="_Toc8134"/>
      <w:bookmarkStart w:id="9" w:name="_Toc16130"/>
      <w:r>
        <w:rPr>
          <w:rFonts w:hint="eastAsia" w:ascii="仿宋" w:hAnsi="仿宋" w:eastAsia="仿宋" w:cs="仿宋"/>
          <w:bCs/>
          <w:color w:val="auto"/>
          <w:kern w:val="2"/>
        </w:rPr>
        <w:t>二、总则</w:t>
      </w:r>
      <w:bookmarkEnd w:id="7"/>
      <w:bookmarkEnd w:id="8"/>
      <w:bookmarkEnd w:id="9"/>
    </w:p>
    <w:p w14:paraId="4DBD5F9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1、适用范围</w:t>
      </w:r>
    </w:p>
    <w:p w14:paraId="7509CBE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本竞争性磋商文件仅适用于本磋商邀请中所指采购项目。</w:t>
      </w:r>
    </w:p>
    <w:p w14:paraId="13E0036F">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2、定义</w:t>
      </w:r>
    </w:p>
    <w:p w14:paraId="13F07AE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 “采购人”系指</w:t>
      </w:r>
      <w:r>
        <w:rPr>
          <w:rFonts w:hint="eastAsia" w:ascii="仿宋" w:hAnsi="仿宋" w:eastAsia="仿宋" w:cs="仿宋"/>
          <w:b/>
          <w:color w:val="auto"/>
          <w:kern w:val="1"/>
          <w:sz w:val="24"/>
          <w:szCs w:val="24"/>
        </w:rPr>
        <w:t>四川商务职业学院</w:t>
      </w:r>
      <w:r>
        <w:rPr>
          <w:rFonts w:hint="eastAsia" w:ascii="仿宋" w:hAnsi="仿宋" w:eastAsia="仿宋" w:cs="仿宋"/>
          <w:color w:val="auto"/>
          <w:kern w:val="1"/>
          <w:sz w:val="24"/>
          <w:szCs w:val="24"/>
        </w:rPr>
        <w:t>。</w:t>
      </w:r>
    </w:p>
    <w:p w14:paraId="2796164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2</w:t>
      </w:r>
      <w:r>
        <w:rPr>
          <w:rFonts w:hint="eastAsia" w:ascii="仿宋" w:hAnsi="仿宋" w:eastAsia="仿宋" w:cs="仿宋"/>
          <w:color w:val="auto"/>
          <w:kern w:val="1"/>
          <w:sz w:val="24"/>
          <w:szCs w:val="24"/>
        </w:rPr>
        <w:t xml:space="preserve"> “供应商”系指向采购</w:t>
      </w:r>
      <w:r>
        <w:rPr>
          <w:rFonts w:hint="eastAsia" w:ascii="仿宋" w:hAnsi="仿宋" w:eastAsia="仿宋" w:cs="仿宋"/>
          <w:color w:val="auto"/>
          <w:kern w:val="1"/>
          <w:sz w:val="24"/>
          <w:szCs w:val="24"/>
          <w:lang w:val="en-US" w:eastAsia="zh-CN"/>
        </w:rPr>
        <w:t>人获取</w:t>
      </w:r>
      <w:r>
        <w:rPr>
          <w:rFonts w:hint="eastAsia" w:ascii="仿宋" w:hAnsi="仿宋" w:eastAsia="仿宋" w:cs="仿宋"/>
          <w:color w:val="auto"/>
          <w:kern w:val="1"/>
          <w:sz w:val="24"/>
          <w:szCs w:val="24"/>
        </w:rPr>
        <w:t>了磋商文件</w:t>
      </w:r>
      <w:r>
        <w:rPr>
          <w:rFonts w:hint="eastAsia" w:ascii="仿宋" w:hAnsi="仿宋" w:eastAsia="仿宋" w:cs="仿宋"/>
          <w:color w:val="auto"/>
          <w:kern w:val="1"/>
          <w:sz w:val="24"/>
          <w:szCs w:val="24"/>
          <w:lang w:eastAsia="zh-CN"/>
        </w:rPr>
        <w:t>、</w:t>
      </w:r>
      <w:r>
        <w:rPr>
          <w:rFonts w:hint="eastAsia" w:ascii="仿宋" w:hAnsi="仿宋" w:eastAsia="仿宋" w:cs="仿宋"/>
          <w:color w:val="auto"/>
          <w:kern w:val="1"/>
          <w:sz w:val="24"/>
          <w:szCs w:val="24"/>
          <w:lang w:val="en-US" w:eastAsia="zh-CN"/>
        </w:rPr>
        <w:t>提交了报名表</w:t>
      </w:r>
      <w:r>
        <w:rPr>
          <w:rFonts w:hint="eastAsia" w:ascii="仿宋" w:hAnsi="仿宋" w:eastAsia="仿宋" w:cs="仿宋"/>
          <w:color w:val="auto"/>
          <w:kern w:val="1"/>
          <w:sz w:val="24"/>
          <w:szCs w:val="24"/>
        </w:rPr>
        <w:t>，拟响应招标、参加磋商竞争的法人、其他组织或者自然人。</w:t>
      </w:r>
    </w:p>
    <w:p w14:paraId="43E169B9">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 xml:space="preserve"> 本磋商文件要求供应商提交的原件，是指原始件（即：资料生成时的原始形态，包括所加盖的印章、相关人员签字笔迹等均是原始印痕、印迹和笔迹。）</w:t>
      </w:r>
    </w:p>
    <w:p w14:paraId="39A1C66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 xml:space="preserve"> 本磋商文件所称“鲜章”，是指加盖的印章原始印痕（印迹），即把印章直接在纸页上盖出的印痕（印迹）。无特殊说明，本磋商文件凡是要求“单位(供应商)盖章”的地方，均应加盖单位的“行政公章”，不得使用专用印章（如合同章、税务专用章、投标专用章等）或下属单位印章代替。</w:t>
      </w:r>
    </w:p>
    <w:p w14:paraId="0E465D34">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3、磋商费用（实质性要求）</w:t>
      </w:r>
    </w:p>
    <w:p w14:paraId="3C72554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无论磋商的过程和结果如何，供应商自行承担所有与参加磋商有关的全部费用。</w:t>
      </w:r>
    </w:p>
    <w:p w14:paraId="093F5AC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4、参加人员及要求（实质性要求）</w:t>
      </w:r>
    </w:p>
    <w:p w14:paraId="5E89EB5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4.1 供应商须由法定代表人或其授权的本单位工作人员作为委托代理人参加磋商，随时准备对磋商小组的询问予以解答，对现场做出的解答需签字确认并承担法律责任。</w:t>
      </w:r>
    </w:p>
    <w:p w14:paraId="6C16562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4.2 法定代表人或其代理人参加磋商时，须携带身份证或其他与法定代表人或其代理人身份相符的有效证件原件，以备查验。</w:t>
      </w:r>
    </w:p>
    <w:p w14:paraId="2FF3DF13">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5、竞争性磋商文件说明</w:t>
      </w:r>
    </w:p>
    <w:p w14:paraId="39C1ABB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5.1 竞争性磋商文件的构成</w:t>
      </w:r>
    </w:p>
    <w:p w14:paraId="55E4DD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竞争性磋商文件包括供应商资格条件、磋商邀请、采购方式、采购预算、采购需求、政府采购政策要求、评审程序、评审方法、评审标准、价格构成或者报价要求、响应文件编制要求、磋商保证金交纳数额和形式以及不予退还的情形、磋商过程中可能实质性变动的内容、响应文件提交的截止时间、磋商时间及地点以及合同草案条款等。</w:t>
      </w:r>
    </w:p>
    <w:p w14:paraId="480017B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5.2 竞争性磋商文件的澄清、修改</w:t>
      </w:r>
    </w:p>
    <w:p w14:paraId="469A3D2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5日前，以书面形式通知所有获取了磋商文件的供应商；不足5日的，采购人将顺延提交首次响应文件截止时间。</w:t>
      </w:r>
    </w:p>
    <w:p w14:paraId="2628655F">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6、响应文件编写要求</w:t>
      </w:r>
    </w:p>
    <w:p w14:paraId="76C5B87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6.1 总体要求</w:t>
      </w:r>
    </w:p>
    <w:p w14:paraId="1A41931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供应商应按照磋商文件的要求编制响应文件，并对其提交的响应文件的真实性、合法性承担法律责任。</w:t>
      </w:r>
    </w:p>
    <w:p w14:paraId="60B5345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6.2 语言及计量单位（实质性要求）</w:t>
      </w:r>
    </w:p>
    <w:p w14:paraId="22A6F7E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6.2.1 响应文件及供应商和采购人就磋商交换的文件和往来信件，应以中文书写，辅助材料及证明材料以中文说明为准。</w:t>
      </w:r>
    </w:p>
    <w:p w14:paraId="7A8044A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6.2.2 除在竞争性磋商文件中技术规格中另有规定外，响应文件所使用的计量单位均应使用中华人民共和国法定计量单位。</w:t>
      </w:r>
    </w:p>
    <w:p w14:paraId="25D5E92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6.3 响应文件的组成</w:t>
      </w:r>
    </w:p>
    <w:p w14:paraId="1A5E18AB">
      <w:pPr>
        <w:wordWrap w:val="0"/>
        <w:spacing w:line="360" w:lineRule="auto"/>
        <w:ind w:firstLine="476"/>
        <w:jc w:val="left"/>
        <w:rPr>
          <w:rFonts w:hint="eastAsia" w:ascii="仿宋" w:hAnsi="仿宋" w:eastAsia="仿宋" w:cs="仿宋"/>
          <w:color w:val="auto"/>
          <w:sz w:val="24"/>
          <w:szCs w:val="24"/>
        </w:rPr>
      </w:pPr>
      <w:r>
        <w:rPr>
          <w:rFonts w:hint="eastAsia" w:ascii="仿宋" w:hAnsi="仿宋" w:eastAsia="仿宋" w:cs="仿宋"/>
          <w:color w:val="auto"/>
          <w:spacing w:val="-1"/>
          <w:sz w:val="24"/>
          <w:szCs w:val="24"/>
        </w:rPr>
        <w:t>6.3.1供应商须按竞争性磋商文件的要求编写响应文件，对竞争性磋商文件提出的要求和条</w:t>
      </w:r>
      <w:r>
        <w:rPr>
          <w:rFonts w:hint="eastAsia" w:ascii="仿宋" w:hAnsi="仿宋" w:eastAsia="仿宋" w:cs="仿宋"/>
          <w:color w:val="auto"/>
          <w:sz w:val="24"/>
          <w:szCs w:val="24"/>
        </w:rPr>
        <w:t>件做出实质性响应。响应文件应包括但不限于下列内容：</w:t>
      </w:r>
    </w:p>
    <w:p w14:paraId="26E52500">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文件一：资格性响应文件</w:t>
      </w:r>
    </w:p>
    <w:p w14:paraId="3FC9326A">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1、法定代表人/单位负责人身份证明书；</w:t>
      </w:r>
    </w:p>
    <w:p w14:paraId="249FD5F1">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2、供应商法定代表人/单位负责人授权书；</w:t>
      </w:r>
    </w:p>
    <w:p w14:paraId="22DF3254">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3、承诺函；</w:t>
      </w:r>
    </w:p>
    <w:p w14:paraId="679A87B2">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4、磋商文件第五章规定的其他资格证明材料。</w:t>
      </w:r>
    </w:p>
    <w:p w14:paraId="2E54A6EF">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文件二：技术、服务性响应文件</w:t>
      </w:r>
    </w:p>
    <w:p w14:paraId="0094EE8D">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6C9054E3">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2、承诺函；</w:t>
      </w:r>
    </w:p>
    <w:p w14:paraId="7815751C">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3、供应商基本情况表；</w:t>
      </w:r>
    </w:p>
    <w:p w14:paraId="6A3AA715">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4、供应商本项目管理、技术、服务人员情况表；</w:t>
      </w:r>
    </w:p>
    <w:p w14:paraId="6728D0D4">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5、类似项目业绩一览表；</w:t>
      </w:r>
    </w:p>
    <w:p w14:paraId="23E04D0E">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6、技术、服务响应偏离表；</w:t>
      </w:r>
    </w:p>
    <w:p w14:paraId="6EF8C51C">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7、商务应答表；</w:t>
      </w:r>
    </w:p>
    <w:p w14:paraId="58AEB7C2">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8、项目实施方案；</w:t>
      </w:r>
    </w:p>
    <w:p w14:paraId="41CC7F98">
      <w:pPr>
        <w:wordWrap w:val="0"/>
        <w:spacing w:line="360" w:lineRule="auto"/>
        <w:ind w:left="420"/>
        <w:jc w:val="left"/>
        <w:rPr>
          <w:rFonts w:hint="eastAsia" w:ascii="仿宋" w:hAnsi="仿宋" w:eastAsia="仿宋" w:cs="仿宋"/>
          <w:color w:val="auto"/>
        </w:rPr>
      </w:pPr>
      <w:r>
        <w:rPr>
          <w:rFonts w:hint="eastAsia" w:ascii="仿宋" w:hAnsi="仿宋" w:eastAsia="仿宋" w:cs="仿宋"/>
          <w:color w:val="auto"/>
          <w:sz w:val="24"/>
          <w:szCs w:val="24"/>
        </w:rPr>
        <w:t>9、磋商文件要求的其它材料。</w:t>
      </w:r>
    </w:p>
    <w:p w14:paraId="5D47B632">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文件三：最终报价函</w:t>
      </w:r>
    </w:p>
    <w:p w14:paraId="23257D0C">
      <w:pPr>
        <w:wordWrap w:val="0"/>
        <w:spacing w:line="360" w:lineRule="auto"/>
        <w:jc w:val="left"/>
        <w:rPr>
          <w:rFonts w:hint="eastAsia" w:ascii="仿宋" w:hAnsi="仿宋" w:eastAsia="仿宋" w:cs="仿宋"/>
          <w:color w:val="auto"/>
          <w:sz w:val="22"/>
        </w:rPr>
      </w:pPr>
      <w:r>
        <w:rPr>
          <w:rFonts w:hint="eastAsia" w:ascii="仿宋" w:hAnsi="仿宋" w:eastAsia="仿宋" w:cs="仿宋"/>
          <w:b/>
          <w:bCs/>
          <w:color w:val="auto"/>
          <w:sz w:val="24"/>
          <w:szCs w:val="24"/>
        </w:rPr>
        <w:t>注：最终报价函应密封提交；供应商需现场填写最终报价的，应自行准备密封袋。</w:t>
      </w:r>
    </w:p>
    <w:p w14:paraId="703B09E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6.3.2响应文件分为：资格性响应文件和技术、服务性响应文件及最终报价函三部分，应分册装订密封。资格性响应文件用于磋商小组资格审查，技术、服务性响应文件用于供应商与磋商小组磋商；最终报价函供应商需现场填写最终报价的，应自行准备密封袋。</w:t>
      </w:r>
    </w:p>
    <w:p w14:paraId="23F6D26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6.3.3供应商递交的响应文件为一式三份，其中正本一份，副本二份；最终报价函一份。响应文件正本和副本均需打印或用不褪色的墨水中文书写，副本可采用正本的复印件，并分别装订成册。在响应文件封面标明项目名称、项目编号、供应商名称以及“资格性响应文件”、“技术、服务性响应文件”。</w:t>
      </w:r>
    </w:p>
    <w:p w14:paraId="4EF1C4C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6.4 磋商有效期（实质性要求）</w:t>
      </w:r>
    </w:p>
    <w:p w14:paraId="2C160112">
      <w:pPr>
        <w:widowControl/>
        <w:wordWrap w:val="0"/>
        <w:spacing w:line="360" w:lineRule="auto"/>
        <w:ind w:firstLine="480"/>
        <w:jc w:val="left"/>
        <w:rPr>
          <w:rFonts w:hint="eastAsia" w:ascii="仿宋" w:hAnsi="仿宋" w:eastAsia="仿宋" w:cs="仿宋"/>
          <w:color w:val="auto"/>
          <w:kern w:val="24"/>
          <w:sz w:val="24"/>
          <w:szCs w:val="24"/>
        </w:rPr>
      </w:pPr>
      <w:r>
        <w:rPr>
          <w:rFonts w:hint="eastAsia" w:ascii="仿宋" w:hAnsi="仿宋" w:eastAsia="仿宋" w:cs="仿宋"/>
          <w:color w:val="auto"/>
          <w:kern w:val="24"/>
          <w:sz w:val="24"/>
          <w:szCs w:val="24"/>
        </w:rPr>
        <w:t>6.4.1 磋商有效期为递交磋商响应文件截止之日起</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天。响应文件中的有效期短于</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天的，视为无效响应文件。</w:t>
      </w:r>
    </w:p>
    <w:p w14:paraId="6333EB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6.4.2 特殊情况下，采购人可以于磋商有效期满之前，向供应商提出延长磋商有效期的要求。答复应以书面形式进行。对于同意该要求的供应商，既不要求也不允许其修改响应文件，但将要求其相应延长磋商保证金的有效期。</w:t>
      </w:r>
    </w:p>
    <w:p w14:paraId="59CC3D1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6.5 响应文件的递交</w:t>
      </w:r>
    </w:p>
    <w:p w14:paraId="0B4F80A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6.5.1 响应文件的密封和标记 </w:t>
      </w:r>
    </w:p>
    <w:p w14:paraId="040676F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响应文件“资格性响应文件”、“技术、服务性响应文件”应分别封装于不同的密封袋内，所有外层密封袋标注项目名称、项目编号、供应商名称、年月日。</w:t>
      </w:r>
    </w:p>
    <w:p w14:paraId="070E600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所有外层密封袋的封口处应粘贴牢固，并加盖密封章（供应商印章）。</w:t>
      </w:r>
    </w:p>
    <w:p w14:paraId="4D85FFB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6.5.2 供应商应当在规定的提交响应文件截止时间前，将响应文件密封后送达指定地点。在截止时间后送达的响应文件为无效文件，将被拒收。 </w:t>
      </w:r>
    </w:p>
    <w:p w14:paraId="28B1261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7、响应文件的补充、修改或者撤回</w:t>
      </w:r>
    </w:p>
    <w:p w14:paraId="2F101DA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7.1 供应商在提交响应文件截止时间前，可以对所提交的响应文件进行补充、修改或者撤回，并书面通知采购人。补充、修改的内容作为响应文件的组成部分。补充、修改的内容与响应文件不一致的，以补充、修改的内容为准。</w:t>
      </w:r>
    </w:p>
    <w:p w14:paraId="184F21F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8、其他</w:t>
      </w:r>
    </w:p>
    <w:p w14:paraId="2ED7738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8.1 本部分如与竞争性磋商文件其他部分有不同之处，以本部分内容为准。</w:t>
      </w:r>
    </w:p>
    <w:p w14:paraId="1A76BCC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8.2 磋商开始后，除磋商小组要求提供的以外，不接受供应商及与供应商有关的第三方递交的材料。</w:t>
      </w:r>
    </w:p>
    <w:p w14:paraId="58342E5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8.3 供应商认为竞争性磋商文件、磋商过程、成交结果使自己的合法权益受到损害的，可按照政府采购的相关规定维权。</w:t>
      </w:r>
    </w:p>
    <w:p w14:paraId="64E2FE4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9、采购人增加合同标的权利</w:t>
      </w:r>
    </w:p>
    <w:p w14:paraId="73428E0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采购合同履行过程中，采购人需要追加与合同标的相同的货物/服务的，在不改变合同其他条款的前提下，可以与成交供应商协商签订补充合同，但所有补充合同的采购金额不得超过原合同采购金额的百分之十。</w:t>
      </w:r>
    </w:p>
    <w:p w14:paraId="5B4EF23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10、充分、公平竞争保障措施（实质性要求）</w:t>
      </w:r>
    </w:p>
    <w:p w14:paraId="7EAEFBD2">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 xml:space="preserve">10.1 利害关系供应商处理。 </w:t>
      </w:r>
    </w:p>
    <w:p w14:paraId="19FFB14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141EDA8">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10.2 前期参与供应商处理。</w:t>
      </w:r>
    </w:p>
    <w:p w14:paraId="5947043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479CF69">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10.3 利害关系代理人处理。</w:t>
      </w:r>
    </w:p>
    <w:p w14:paraId="20169FC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 家以上的供应商不得在同一合同项下的采购项目中，同时委托同一个自然人、同一家庭的人员、同一单位的人员作为其代理人，否则其响应文件作为无效处理。</w:t>
      </w:r>
    </w:p>
    <w:p w14:paraId="1EFC445A">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11、供应商不得具有的情形（实质性要求）</w:t>
      </w:r>
    </w:p>
    <w:p w14:paraId="4ED6E6D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（1）提供虚假材料谋取中标；</w:t>
      </w:r>
    </w:p>
    <w:p w14:paraId="2563B90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（2）采取不正当手段诋毁、排挤其他供应商；</w:t>
      </w:r>
    </w:p>
    <w:p w14:paraId="7DBD137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（3）与招标采购单位、其他供应商恶意串通；</w:t>
      </w:r>
    </w:p>
    <w:p w14:paraId="59A157C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（4）向招标采购单位、磋商小组成员行贿或者提供其他不正当利益；</w:t>
      </w:r>
    </w:p>
    <w:p w14:paraId="1DB093E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（5）在投标过程中与招标采购单位进行协商谈判；</w:t>
      </w:r>
    </w:p>
    <w:p w14:paraId="1A26EA6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（6）中标或者成交后无正当理由拒不与采购人签订采购合同；</w:t>
      </w:r>
    </w:p>
    <w:p w14:paraId="61FA161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（7）未按照采购文件确定的事项签订采购合同；</w:t>
      </w:r>
    </w:p>
    <w:p w14:paraId="522ECA3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（8）将采购合同转包或者违规分包；</w:t>
      </w:r>
    </w:p>
    <w:p w14:paraId="6811B4D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（9）提供假冒伪劣产品；</w:t>
      </w:r>
    </w:p>
    <w:p w14:paraId="0A529F4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（10）擅自变更、中止或者终止采购合同；</w:t>
      </w:r>
    </w:p>
    <w:p w14:paraId="1EB5291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（11）拒绝有关部门的监督检查或者向监督检查部门提供虚假情况；</w:t>
      </w:r>
    </w:p>
    <w:p w14:paraId="26F6C12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（12）为本采购项目前期准备提供设计或咨询服务的；</w:t>
      </w:r>
    </w:p>
    <w:p w14:paraId="635C046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（13）为本采购项目的代理机构单位；</w:t>
      </w:r>
    </w:p>
    <w:p w14:paraId="5C21AF1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（14）为本采购项目的监理单位；</w:t>
      </w:r>
    </w:p>
    <w:p w14:paraId="1347171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（15）为本采购项目的代建单位；</w:t>
      </w:r>
    </w:p>
    <w:p w14:paraId="294DB25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（16）与以上单位同为一个法定代表人的；</w:t>
      </w:r>
    </w:p>
    <w:p w14:paraId="24C0479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（17）与以上单位相互控股或参股的；</w:t>
      </w:r>
    </w:p>
    <w:p w14:paraId="7F865ED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（18）参加本采购项目前三年内，在经营活动中有重大违法记录的；</w:t>
      </w:r>
    </w:p>
    <w:p w14:paraId="60F13DC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（19）单位负责人为同一人或者存在直接控股、管理关系的不同单位，不得参加同一包投标或者在未分包的同一招标项目中投标；</w:t>
      </w:r>
    </w:p>
    <w:p w14:paraId="21DC469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（20）为采购人的附属机构，或与采购人存在利害关系可能影响招标公正性的；</w:t>
      </w:r>
    </w:p>
    <w:p w14:paraId="1A8C473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（21）法律法规规定的其他情形。</w:t>
      </w:r>
    </w:p>
    <w:p w14:paraId="12953D0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供应商有上述情形的，按照规定追究法律责任，具备（1）-（21）条情形之一的，同时将取消成交资格或者认定成交无效。</w:t>
      </w:r>
    </w:p>
    <w:p w14:paraId="0253484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12、响应文件的印制和签署</w:t>
      </w:r>
    </w:p>
    <w:p w14:paraId="5007B21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12.1 供应商准备的响应文件若正本和副本有不一致的内容，以正本书面响应文件为准。</w:t>
      </w:r>
    </w:p>
    <w:p w14:paraId="5248EDD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12.2 响应文件的正本和副本均需打印或用不褪色、不变质的墨水书写，并由供应商的法定代表人或其授权代表在规定签章处签字或盖章。响应文件副本可采用正本的复印件。</w:t>
      </w:r>
    </w:p>
    <w:p w14:paraId="52D8F96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12.3 响应文件的打印和书写应清楚工整，任何行间插字、涂改或增删，必须由供应商的法定代表人或其授权代表签字或盖个人印鉴。字迹潦草、表达不清或可能导致非唯一理解的响应文件可能视为无效磋商。</w:t>
      </w:r>
    </w:p>
    <w:p w14:paraId="68E54D1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12.4 响应文件正本和副本应装订完整。</w:t>
      </w:r>
    </w:p>
    <w:p w14:paraId="3FCA852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12.5 响应文件统一用 A4 幅面纸印制。</w:t>
      </w:r>
    </w:p>
    <w:p w14:paraId="57630C4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13、联合体（实质性要求）</w:t>
      </w:r>
    </w:p>
    <w:p w14:paraId="0DDBA55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13.1 本项目是否接受联合体响应，以“磋商须知附表”为准。</w:t>
      </w:r>
    </w:p>
    <w:p w14:paraId="3E63ADE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13.2 </w:t>
      </w:r>
      <w:r>
        <w:rPr>
          <w:rFonts w:ascii="仿宋" w:hAnsi="仿宋" w:eastAsia="仿宋" w:cs="仿宋"/>
          <w:color w:val="auto"/>
          <w:kern w:val="1"/>
          <w:sz w:val="24"/>
          <w:szCs w:val="24"/>
        </w:rPr>
        <w:t>（</w:t>
      </w:r>
      <w:r>
        <w:rPr>
          <w:rFonts w:hint="eastAsia" w:ascii="仿宋" w:hAnsi="仿宋" w:eastAsia="仿宋" w:cs="仿宋"/>
          <w:color w:val="auto"/>
          <w:kern w:val="1"/>
          <w:sz w:val="24"/>
          <w:szCs w:val="24"/>
        </w:rPr>
        <w:t>以下仅适用</w:t>
      </w:r>
      <w:r>
        <w:rPr>
          <w:rFonts w:ascii="仿宋" w:hAnsi="仿宋" w:eastAsia="仿宋" w:cs="仿宋"/>
          <w:color w:val="auto"/>
          <w:kern w:val="1"/>
          <w:sz w:val="24"/>
          <w:szCs w:val="24"/>
        </w:rPr>
        <w:t>接受联合体响应</w:t>
      </w:r>
      <w:r>
        <w:rPr>
          <w:rFonts w:hint="eastAsia" w:ascii="仿宋" w:hAnsi="仿宋" w:eastAsia="仿宋" w:cs="仿宋"/>
          <w:color w:val="auto"/>
          <w:kern w:val="1"/>
          <w:sz w:val="24"/>
          <w:szCs w:val="24"/>
        </w:rPr>
        <w:t>的情形</w:t>
      </w:r>
      <w:r>
        <w:rPr>
          <w:rFonts w:ascii="仿宋" w:hAnsi="仿宋" w:eastAsia="仿宋" w:cs="仿宋"/>
          <w:color w:val="auto"/>
          <w:kern w:val="1"/>
          <w:sz w:val="24"/>
          <w:szCs w:val="24"/>
        </w:rPr>
        <w:t>）</w:t>
      </w:r>
      <w:r>
        <w:rPr>
          <w:rFonts w:hint="eastAsia" w:ascii="仿宋" w:hAnsi="仿宋" w:eastAsia="仿宋" w:cs="仿宋"/>
          <w:color w:val="auto"/>
          <w:kern w:val="1"/>
          <w:sz w:val="24"/>
          <w:szCs w:val="24"/>
        </w:rPr>
        <w:t>两个以上供应商可以组成一个联合体，以一个投标人的身份投标。供应商组成联合体参加投标的，联合体各方均应当符合《中华人民共和国政府采购法》第二十二条规定的条件。</w:t>
      </w:r>
    </w:p>
    <w:p w14:paraId="1112B3C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13.3 联合体各方之间应当签订联合体投标协议，明确约定联合体各方承担的工作和相应的责任。</w:t>
      </w:r>
    </w:p>
    <w:p w14:paraId="1587E31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13.4 联合体应当确定其中一个单位为采购合同签订和履行的全权代表，即联合体牵头人。联合体牵头人将负责投标的一切事务，并承担合同签订、履行中应承担的全部责任与义务。</w:t>
      </w:r>
    </w:p>
    <w:p w14:paraId="191F9E4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13.5 联合体各方应当共同与采购人签订采购合同，就采购合同约定的事项对采购人承担连带责任。</w:t>
      </w:r>
    </w:p>
    <w:p w14:paraId="6D07069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13.6 联合体中有同类资质的供应商按照联合体分工承担相同工作的，应当按照资质等级较低的供应商确定资质等级。</w:t>
      </w:r>
    </w:p>
    <w:p w14:paraId="4194CD0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13.7 以联合体形式参加采购活动的，联合体各方不得再单独参加或者与其他供应商另外组成联合体参加本项目采购活动。</w:t>
      </w:r>
    </w:p>
    <w:p w14:paraId="048AA79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14、履约验收</w:t>
      </w:r>
    </w:p>
    <w:p w14:paraId="564D079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14.1 本项目采购人将按照政府采购相关法律法规以及</w:t>
      </w:r>
      <w:r>
        <w:rPr>
          <w:rFonts w:hint="eastAsia" w:ascii="仿宋" w:hAnsi="仿宋" w:eastAsia="仿宋" w:cs="仿宋"/>
          <w:bCs/>
          <w:color w:val="auto"/>
          <w:sz w:val="24"/>
          <w:szCs w:val="24"/>
        </w:rPr>
        <w:t>《财政部关于进一步加强政府采购需求和履约验收管理的指导意见》（财库〔2016〕205号）</w:t>
      </w:r>
      <w:r>
        <w:rPr>
          <w:rFonts w:hint="eastAsia" w:ascii="仿宋" w:hAnsi="仿宋" w:eastAsia="仿宋" w:cs="仿宋"/>
          <w:color w:val="auto"/>
          <w:kern w:val="1"/>
          <w:sz w:val="24"/>
          <w:szCs w:val="24"/>
        </w:rPr>
        <w:t>的要求进行验收。</w:t>
      </w:r>
    </w:p>
    <w:p w14:paraId="6429896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14.2 存在国家强制规定或行业标准的遵照相关规定执行。</w:t>
      </w:r>
    </w:p>
    <w:p w14:paraId="2889ABF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15、合同分包（实质性要求）</w:t>
      </w:r>
    </w:p>
    <w:p w14:paraId="44979B6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15.1 本项目合同接受分包与否，以“磋商须知附表”勾选项为准。</w:t>
      </w:r>
    </w:p>
    <w:p w14:paraId="07322C8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15.2 中小企业依据《政府采购促进中小企业发展管理办法》（财库[2020]46号）规定的政策获取政府采购合同后，小型、微型企业不得分包或转包给大型、中型企业，中型企业不得分包或转包给大型企业。</w:t>
      </w:r>
    </w:p>
    <w:p w14:paraId="2AE38DB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16、合同转包（实质性要求）</w:t>
      </w:r>
    </w:p>
    <w:p w14:paraId="76C0685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E6EC62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成交供应商转包的，视同拒绝履行采购合同义务，将依法追究法律责任。</w:t>
      </w:r>
    </w:p>
    <w:p w14:paraId="0AB511E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17、有下列情形之一的，视为供应商串通投标，其投标无效：</w:t>
      </w:r>
    </w:p>
    <w:p w14:paraId="5F7C79D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（一）不同供应商的响应文件由同一单位或者个人编制；</w:t>
      </w:r>
    </w:p>
    <w:p w14:paraId="455A624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（二）不同供应商委托同一单位或者个人办理投标事宜；</w:t>
      </w:r>
    </w:p>
    <w:p w14:paraId="37781FD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（三）不同供应商的响应文件载明的项目管理成员或者联系人员为同一人；</w:t>
      </w:r>
    </w:p>
    <w:p w14:paraId="166A7F3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（四）不同供应商的响应文件异常一致或者投标报价呈规律性差异；</w:t>
      </w:r>
    </w:p>
    <w:p w14:paraId="0E9ED0A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（五）不同供应商的响应文件相互混装；</w:t>
      </w:r>
    </w:p>
    <w:p w14:paraId="7DB7333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（六）不同供应商的磋商保证金从同一单位或者个人的账户转出。</w:t>
      </w:r>
    </w:p>
    <w:p w14:paraId="7834A6AF">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18、质疑</w:t>
      </w:r>
    </w:p>
    <w:p w14:paraId="16EB826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质疑的接收和处理参照《中华人民共和国政府采购法》、《中华人民共和国政府采购法实施条例》、中华人民共和国财政部令第94号《政府采购质疑和投诉办法》、《财政部关于加强政府采购供应商投诉受理审查工作的通知》关于贯彻落实《中华人民共和国政府采购法实施条例》 的若干规定（川财采〔2015〕37 号文）的规定办理（详细规定请自行查询中国政府采购网或四川政府采购网政策法规相关内容）。针对磋商文件技术条款和专业商务条件的质疑由采购人进行回复，磋商过程、磋商成交结果提出的质疑由</w:t>
      </w:r>
      <w:r>
        <w:rPr>
          <w:rFonts w:hint="eastAsia" w:ascii="仿宋" w:hAnsi="仿宋" w:eastAsia="仿宋" w:cs="仿宋"/>
          <w:color w:val="auto"/>
          <w:kern w:val="1"/>
          <w:sz w:val="24"/>
          <w:szCs w:val="24"/>
          <w:lang w:eastAsia="zh-CN"/>
        </w:rPr>
        <w:t>采购人</w:t>
      </w:r>
      <w:r>
        <w:rPr>
          <w:rFonts w:hint="eastAsia" w:ascii="仿宋" w:hAnsi="仿宋" w:eastAsia="仿宋" w:cs="仿宋"/>
          <w:color w:val="auto"/>
          <w:kern w:val="1"/>
          <w:sz w:val="24"/>
          <w:szCs w:val="24"/>
        </w:rPr>
        <w:t>进行回复。</w:t>
      </w:r>
      <w:bookmarkStart w:id="10" w:name="_Hlk517962386"/>
      <w:r>
        <w:rPr>
          <w:rFonts w:hint="eastAsia" w:ascii="仿宋" w:hAnsi="仿宋" w:eastAsia="仿宋" w:cs="仿宋"/>
          <w:color w:val="auto"/>
          <w:kern w:val="1"/>
          <w:sz w:val="24"/>
          <w:szCs w:val="24"/>
        </w:rPr>
        <w:t>供应商应在法定质疑期内一次性提出针对同一采购程序环节的质疑。</w:t>
      </w:r>
      <w:bookmarkEnd w:id="10"/>
    </w:p>
    <w:p w14:paraId="63F5B859">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19、其他</w:t>
      </w:r>
    </w:p>
    <w:p w14:paraId="64AE2ADC">
      <w:pPr>
        <w:widowControl/>
        <w:wordWrap w:val="0"/>
        <w:spacing w:line="360" w:lineRule="auto"/>
        <w:ind w:firstLine="480"/>
        <w:jc w:val="left"/>
        <w:rPr>
          <w:rFonts w:hint="eastAsia" w:ascii="仿宋" w:hAnsi="仿宋" w:eastAsia="仿宋" w:cs="仿宋"/>
          <w:color w:val="auto"/>
          <w:kern w:val="1"/>
          <w:sz w:val="24"/>
          <w:szCs w:val="24"/>
        </w:rPr>
        <w:sectPr>
          <w:headerReference r:id="rId13" w:type="first"/>
          <w:headerReference r:id="rId12" w:type="default"/>
          <w:footerReference r:id="rId14" w:type="default"/>
          <w:pgSz w:w="11906" w:h="16838"/>
          <w:pgMar w:top="1440" w:right="1701" w:bottom="1440" w:left="1701" w:header="851" w:footer="992" w:gutter="0"/>
          <w:pgNumType w:start="1" w:chapStyle="1"/>
          <w:cols w:space="720" w:num="1"/>
        </w:sectPr>
      </w:pPr>
      <w:r>
        <w:rPr>
          <w:rFonts w:hint="eastAsia" w:ascii="仿宋" w:hAnsi="仿宋" w:eastAsia="仿宋" w:cs="仿宋"/>
          <w:color w:val="auto"/>
          <w:kern w:val="1"/>
          <w:sz w:val="24"/>
          <w:szCs w:val="24"/>
        </w:rPr>
        <w:t>本磋商文件中所引相关法律制度规定，在采购中有变化的，按照变化后的相关法律制度规定执行。磋商文件规定的其他内容条款，在本项目递交磋商响应文件截止之日起，因相关法律制度规定的变化导致不符合相关法律制度规定的，直接按照变化后的相关法律制度规定执行，本磋商文件不再做调整。</w:t>
      </w:r>
    </w:p>
    <w:p w14:paraId="08AF35C8">
      <w:pPr>
        <w:pStyle w:val="4"/>
        <w:wordWrap w:val="0"/>
        <w:spacing w:before="0" w:after="0" w:line="360" w:lineRule="auto"/>
        <w:rPr>
          <w:rFonts w:hint="eastAsia" w:ascii="仿宋" w:hAnsi="仿宋" w:eastAsia="仿宋" w:cs="仿宋"/>
          <w:color w:val="auto"/>
        </w:rPr>
      </w:pPr>
      <w:bookmarkStart w:id="11" w:name="_Toc19493"/>
      <w:r>
        <w:rPr>
          <w:rFonts w:hint="eastAsia" w:ascii="仿宋" w:hAnsi="仿宋" w:eastAsia="仿宋" w:cs="仿宋"/>
          <w:color w:val="auto"/>
        </w:rPr>
        <w:t>第三章 项目技术、服务、采购合同内容条款及其他商务要求</w:t>
      </w:r>
      <w:bookmarkEnd w:id="11"/>
    </w:p>
    <w:p w14:paraId="44AEF6CC">
      <w:pPr>
        <w:widowControl/>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注：本章标注“★”的内容为实质性要求，不允许负偏离。</w:t>
      </w:r>
    </w:p>
    <w:p w14:paraId="073ED258">
      <w:pPr>
        <w:widowControl/>
        <w:spacing w:line="360" w:lineRule="auto"/>
        <w:ind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一、项目概述</w:t>
      </w:r>
    </w:p>
    <w:p w14:paraId="10183278">
      <w:pPr>
        <w:widowControl/>
        <w:spacing w:line="360" w:lineRule="auto"/>
        <w:ind w:firstLine="480" w:firstLineChars="200"/>
        <w:textAlignment w:val="baseline"/>
        <w:rPr>
          <w:rStyle w:val="93"/>
          <w:rFonts w:hint="eastAsia" w:ascii="仿宋" w:hAnsi="仿宋" w:eastAsia="仿宋" w:cs="仿宋"/>
          <w:color w:val="auto"/>
          <w:kern w:val="2"/>
          <w:sz w:val="24"/>
          <w:szCs w:val="24"/>
        </w:rPr>
      </w:pPr>
      <w:r>
        <w:rPr>
          <w:rStyle w:val="93"/>
          <w:rFonts w:hint="eastAsia" w:ascii="仿宋" w:hAnsi="仿宋" w:eastAsia="仿宋" w:cs="仿宋"/>
          <w:color w:val="auto"/>
          <w:kern w:val="2"/>
          <w:sz w:val="24"/>
          <w:szCs w:val="24"/>
        </w:rPr>
        <w:t>本项目为四川商务职业学院技能大师工作室</w:t>
      </w:r>
      <w:r>
        <w:rPr>
          <w:rStyle w:val="93"/>
          <w:rFonts w:hint="eastAsia" w:ascii="仿宋" w:hAnsi="仿宋" w:eastAsia="仿宋" w:cs="仿宋"/>
          <w:color w:val="auto"/>
          <w:kern w:val="2"/>
          <w:sz w:val="24"/>
          <w:szCs w:val="24"/>
          <w:lang w:val="en-US"/>
        </w:rPr>
        <w:t>采购</w:t>
      </w:r>
      <w:r>
        <w:rPr>
          <w:rStyle w:val="93"/>
          <w:rFonts w:hint="eastAsia" w:ascii="仿宋" w:hAnsi="仿宋" w:eastAsia="仿宋" w:cs="仿宋"/>
          <w:color w:val="auto"/>
          <w:kern w:val="2"/>
          <w:sz w:val="24"/>
          <w:szCs w:val="24"/>
        </w:rPr>
        <w:t>项目，采购内容为：技能大师工作室食材购买、</w:t>
      </w:r>
      <w:r>
        <w:rPr>
          <w:rStyle w:val="93"/>
          <w:rFonts w:hint="eastAsia" w:ascii="仿宋" w:hAnsi="仿宋" w:eastAsia="仿宋" w:cs="仿宋"/>
          <w:color w:val="auto"/>
          <w:kern w:val="2"/>
          <w:sz w:val="24"/>
          <w:szCs w:val="24"/>
          <w:lang w:val="en-US"/>
        </w:rPr>
        <w:t>厨房用杂项物料等物料</w:t>
      </w:r>
      <w:r>
        <w:rPr>
          <w:rStyle w:val="93"/>
          <w:rFonts w:hint="eastAsia" w:ascii="仿宋" w:hAnsi="仿宋" w:eastAsia="仿宋" w:cs="仿宋"/>
          <w:color w:val="auto"/>
          <w:kern w:val="2"/>
          <w:sz w:val="24"/>
          <w:szCs w:val="24"/>
        </w:rPr>
        <w:t>及配送服务。</w:t>
      </w:r>
    </w:p>
    <w:p w14:paraId="0B54D76D">
      <w:pPr>
        <w:widowControl/>
        <w:spacing w:line="360" w:lineRule="auto"/>
        <w:ind w:firstLine="480" w:firstLineChars="200"/>
        <w:textAlignment w:val="baseline"/>
        <w:rPr>
          <w:rStyle w:val="93"/>
          <w:rFonts w:hint="eastAsia" w:ascii="仿宋" w:hAnsi="仿宋" w:eastAsia="仿宋" w:cs="仿宋"/>
          <w:color w:val="auto"/>
          <w:kern w:val="2"/>
          <w:sz w:val="24"/>
          <w:szCs w:val="24"/>
        </w:rPr>
      </w:pPr>
      <w:r>
        <w:rPr>
          <w:rStyle w:val="93"/>
          <w:rFonts w:hint="eastAsia" w:ascii="仿宋" w:hAnsi="仿宋" w:eastAsia="仿宋" w:cs="仿宋"/>
          <w:color w:val="auto"/>
          <w:kern w:val="2"/>
          <w:sz w:val="24"/>
          <w:szCs w:val="24"/>
        </w:rPr>
        <w:t>采购内容为：蔬菜类、水果类、坚果类、粗粮类、主食类、肉类、禽类、蛋类、奶类等。</w:t>
      </w:r>
    </w:p>
    <w:p w14:paraId="50D91C0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★二、采购内容及服务要求</w:t>
      </w:r>
    </w:p>
    <w:p w14:paraId="34162C6A">
      <w:pPr>
        <w:spacing w:line="360" w:lineRule="auto"/>
        <w:ind w:firstLine="482" w:firstLineChars="200"/>
        <w:rPr>
          <w:rFonts w:hint="eastAsia" w:ascii="仿宋" w:hAnsi="仿宋" w:eastAsia="仿宋" w:cs="仿宋"/>
          <w:b/>
          <w:color w:val="auto"/>
          <w:sz w:val="24"/>
          <w:szCs w:val="24"/>
        </w:rPr>
      </w:pPr>
      <w:bookmarkStart w:id="12" w:name="_Toc32112"/>
      <w:r>
        <w:rPr>
          <w:rFonts w:hint="eastAsia" w:ascii="仿宋" w:hAnsi="仿宋" w:eastAsia="仿宋" w:cs="仿宋"/>
          <w:b/>
          <w:color w:val="auto"/>
          <w:sz w:val="24"/>
          <w:szCs w:val="24"/>
        </w:rPr>
        <w:t>（一）</w:t>
      </w:r>
      <w:bookmarkEnd w:id="12"/>
      <w:r>
        <w:rPr>
          <w:rFonts w:hint="eastAsia" w:ascii="仿宋" w:hAnsi="仿宋" w:eastAsia="仿宋" w:cs="仿宋"/>
          <w:b/>
          <w:color w:val="auto"/>
          <w:sz w:val="24"/>
          <w:szCs w:val="24"/>
        </w:rPr>
        <w:t>蔬菜类</w:t>
      </w:r>
    </w:p>
    <w:p w14:paraId="51B2A47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主要包括土豆、萝卜、白菜、花菜、佛手瓜、冬瓜、茄子、豇豆、青豆等叶菜类、茎菜类、根菜类、果菜类、花菜等。</w:t>
      </w:r>
    </w:p>
    <w:p w14:paraId="4D5D424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①蔬菜（数量、品类：根据采购人实际需要品种、数量提供。）</w:t>
      </w:r>
    </w:p>
    <w:p w14:paraId="0DC462B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②叶菜类：鲜嫩，无枯黄叶，无花斑叶，无烂叶；叶茎完整无折断，基部不老化，干爽无水；无裂口损伤，表面无泥土及其它杂物，无农药残留。</w:t>
      </w:r>
    </w:p>
    <w:p w14:paraId="420C579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③根茎类：个体均匀，根形完整，无畸形，无泥土，无虫蛀和机械伤，无腐烂，无断折断裂，不萎蔫变软，不发芽，不变绿，不空心，不糠心，不黑心，弹击有实心感，无农药残留。</w:t>
      </w:r>
    </w:p>
    <w:p w14:paraId="6E89AD9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④芽苗类：鲜嫩、无老叶、无花斑黄叶，根部切口新鲜，茎叶完整，无腐烂现象，无农药残留。</w:t>
      </w:r>
    </w:p>
    <w:p w14:paraId="32D4B93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⑤菌类：色泽与其品种相适应，气味正常；无腐烂及虫蛀株，无发霉，无失水枯萎，朵片完整，手轻捏不能有水渗出为宜。</w:t>
      </w:r>
    </w:p>
    <w:p w14:paraId="25D1701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⑥所投产品必须符合GB 2763国家最新的食品中农药最大残留准标准及GB 2762国家最新标准食品中污染物限量标准。所列产品标准如国家有调整的，应以调整后的最新标准为准。农药残留及重金属不得超标，不得含有国家全面禁止使用的农药成份。</w:t>
      </w:r>
    </w:p>
    <w:p w14:paraId="6EC5A2F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⑦原菜须保证菜面干净、无明显泥土、码放整齐、无破损、不得过熟或欠熟；净菜须保证菜面完全干净、无泥土、按统一标准加工、码放整齐，并按相关规定配送前采样送检，并提供具有农药、杀虫剂等残留检测合格的报告。</w:t>
      </w:r>
    </w:p>
    <w:p w14:paraId="2F0955DD">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（二）大米</w:t>
      </w:r>
    </w:p>
    <w:p w14:paraId="142FD66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（1）大米应当符合GB/T 1354-2018国家最新标准规定。</w:t>
      </w:r>
    </w:p>
    <w:p w14:paraId="0A41F6F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（2）不低于GB/T 1354国家最新标准一级等指标的技术要求；</w:t>
      </w:r>
    </w:p>
    <w:p w14:paraId="1FABC2F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（3）国标二级籼稻大米（产品与标注情况一致）；</w:t>
      </w:r>
    </w:p>
    <w:p w14:paraId="1B6231E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（4）袋装；</w:t>
      </w:r>
    </w:p>
    <w:p w14:paraId="2122288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（5）包装符合GB/T 17109国家最新标准粮食销售包装标准；</w:t>
      </w:r>
    </w:p>
    <w:p w14:paraId="367A0F0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（6）保质期不少于 6 个月；</w:t>
      </w:r>
    </w:p>
    <w:p w14:paraId="039E36D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生产日期标注在独立的纸制生产合格证上并固定于袋口封装线上，在未拆封包装袋之前完全能清晰看清生产日期。外包装上注明产品名称、原料、产地、净含量、厂名、厂址、生产日期、保质期、产品标准号、联系方式、质量等级、营养成分表、生产许可证编号、贮存条件；</w:t>
      </w:r>
    </w:p>
    <w:p w14:paraId="67A98BC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（8）生产日期标注在独立的生产合格证上并固定于袋口封装线上；在未拆封包装袋之前完全能清楚看清生产日期。</w:t>
      </w:r>
    </w:p>
    <w:p w14:paraId="6E6500D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（三）</w:t>
      </w:r>
      <w:r>
        <w:rPr>
          <w:rFonts w:hint="eastAsia" w:ascii="仿宋" w:hAnsi="仿宋" w:eastAsia="仿宋" w:cs="仿宋"/>
          <w:b/>
          <w:color w:val="auto"/>
          <w:sz w:val="24"/>
          <w:szCs w:val="24"/>
        </w:rPr>
        <w:tab/>
      </w:r>
      <w:r>
        <w:rPr>
          <w:rFonts w:hint="eastAsia" w:ascii="仿宋" w:hAnsi="仿宋" w:eastAsia="仿宋" w:cs="仿宋"/>
          <w:b/>
          <w:color w:val="auto"/>
          <w:sz w:val="24"/>
          <w:szCs w:val="24"/>
        </w:rPr>
        <w:t>面粉</w:t>
      </w:r>
    </w:p>
    <w:p w14:paraId="33DD983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小麦粉或面粉</w:t>
      </w:r>
    </w:p>
    <w:p w14:paraId="572434E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（1）所有产品应符合GB/T 1355-2021《小麦粉》、GB 2761-2017《食品安全国家标准 食品中真菌毒素限量》要求。</w:t>
      </w:r>
    </w:p>
    <w:p w14:paraId="230DE54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（2）面粉色泽呈乳白色或淡黄色，不发暗，无杂质，无粗粒感，流散性好，不结块，有自然的麦香味。</w:t>
      </w:r>
    </w:p>
    <w:p w14:paraId="67225F9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（3）袋装；</w:t>
      </w:r>
    </w:p>
    <w:p w14:paraId="2CBADD0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（4）保质期不少于6个月；</w:t>
      </w:r>
    </w:p>
    <w:p w14:paraId="17BF45D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生产日期标注在独立的纸制生产合格证上并固定于袋口封装线上，在未拆封包装袋之前完全能清晰看清生产日期。外包装上注明产品名称、原料、产地、净含量、厂名、厂址、生产日期、保质期、产品标准号、联系方式、质量等级、营养成分表、生产许可证编号、贮存条件。</w:t>
      </w:r>
    </w:p>
    <w:p w14:paraId="1FE633B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（四）肉类</w:t>
      </w:r>
    </w:p>
    <w:p w14:paraId="5D5A2C8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1.家畜肉类</w:t>
      </w:r>
    </w:p>
    <w:p w14:paraId="676AE9F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（1）品质好的猪肉其瘦肉部分为粉红色，肥肉部分为白色且清新，硬度适中，无不良颗粒存在，肉质结实，肉层分明，质纹细嫩，指压有弹性，表面无出水现象</w:t>
      </w:r>
    </w:p>
    <w:p w14:paraId="0B9FA2E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（2）牛肉则瘦肉部位为桃红色，肥肉呈白色，但牛筋则为浅黄色。</w:t>
      </w:r>
    </w:p>
    <w:p w14:paraId="0638FB1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（3）病畜肉上常有不良颗粒，瘦肉颜色苍白；死畜肉呈暗黑色或放血不清有瘀血现象；肉皮上未盖检验章者为私宰牲畜，较无保障。</w:t>
      </w:r>
    </w:p>
    <w:p w14:paraId="530486C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2．家禽类</w:t>
      </w:r>
    </w:p>
    <w:p w14:paraId="6FB364B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（1）活的家禽类，头冠鲜红挺立，羽毛光洁明亮，眼睛灵活有神，腹部肉质丰厚而结实，肛门洁净而无污物黏液。</w:t>
      </w:r>
    </w:p>
    <w:p w14:paraId="502AE9C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（2）杀好的家禽类，外皮完整光滑，整体型肥圆丰满。</w:t>
      </w:r>
    </w:p>
    <w:p w14:paraId="1957BE3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3．内脏</w:t>
      </w:r>
    </w:p>
    <w:p w14:paraId="56299AB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（1）肝应选灰红色、筋少、有弹性、无斑点。</w:t>
      </w:r>
    </w:p>
    <w:p w14:paraId="15219B6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（2）猪肚应选肥厚、色白、表面光亮、无积水。</w:t>
      </w:r>
    </w:p>
    <w:p w14:paraId="4552887E">
      <w:pPr>
        <w:spacing w:line="360" w:lineRule="auto"/>
        <w:ind w:firstLine="482" w:firstLineChars="200"/>
        <w:rPr>
          <w:rFonts w:hint="eastAsia" w:ascii="仿宋" w:hAnsi="仿宋" w:eastAsia="仿宋" w:cs="仿宋"/>
          <w:b/>
          <w:color w:val="auto"/>
          <w:sz w:val="24"/>
          <w:szCs w:val="24"/>
        </w:rPr>
      </w:pPr>
      <w:bookmarkStart w:id="13" w:name="_Toc6899"/>
      <w:r>
        <w:rPr>
          <w:rFonts w:hint="eastAsia" w:ascii="仿宋" w:hAnsi="仿宋" w:eastAsia="仿宋" w:cs="仿宋"/>
          <w:b/>
          <w:color w:val="auto"/>
          <w:sz w:val="24"/>
          <w:szCs w:val="24"/>
        </w:rPr>
        <w:t>（五）</w:t>
      </w:r>
      <w:bookmarkEnd w:id="13"/>
      <w:r>
        <w:rPr>
          <w:rFonts w:hint="eastAsia" w:ascii="仿宋" w:hAnsi="仿宋" w:eastAsia="仿宋" w:cs="仿宋"/>
          <w:b/>
          <w:color w:val="auto"/>
          <w:sz w:val="24"/>
          <w:szCs w:val="24"/>
        </w:rPr>
        <w:t>乳类</w:t>
      </w:r>
    </w:p>
    <w:p w14:paraId="0A4B22B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1．乳粉类</w:t>
      </w:r>
    </w:p>
    <w:p w14:paraId="7F7F914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奶粉宜选择乳白色不成块状的粉末，并选罐制或不透明袋装的产品，勿购买透明、塑胶袋装之不合法产品，外观必须标示清楚。</w:t>
      </w:r>
    </w:p>
    <w:p w14:paraId="5BF4757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2．罐头类</w:t>
      </w:r>
    </w:p>
    <w:p w14:paraId="4C4AD34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（1）标示说明清楚，包括容量、厂牌、厂址及制造日期等。</w:t>
      </w:r>
    </w:p>
    <w:p w14:paraId="6D99545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（2）包装精美完整，两头整不向外凸出。</w:t>
      </w:r>
    </w:p>
    <w:p w14:paraId="2E44805E">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（六）奶制品</w:t>
      </w:r>
    </w:p>
    <w:p w14:paraId="14FD610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符合国家质量安全检验标准、随货有该批次产品质量检测合格证、包装完好无损、外观无霉变、无斑点、无腐烂变质，有该物品独有的气味、无异味。送货到采购人处时的产品保质期，不得少于产品总保质期的三分之一，凭出厂合格证与检验员章确认质量，具有相关产品检验报告，在保质期内有SC标记。</w:t>
      </w:r>
    </w:p>
    <w:p w14:paraId="577F287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2.符合GB 25190国家最新标准《食品安全国家标准 灭菌乳》及GB 7718国家最新标准《食品安全国家标准 预包装食品标签通则》或国家卫生、食品安全最新标准。每批货均需提供盒装奶生产厂家出具的《质检报告》。外观呈乳白色或微黄色，具有乳固有的香味，呈均匀一致液体，无凝块、无沉淀、无正常视力可见异物。</w:t>
      </w:r>
    </w:p>
    <w:p w14:paraId="443F896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（七）禽蛋（包括鸡蛋、鸭蛋）</w:t>
      </w:r>
    </w:p>
    <w:p w14:paraId="54866AF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质量标准：符合国家和行业标准。应有动物产品检疫(或检测)合格证明或出县境动物产品检疫(或检测)合格证明，外地禽蛋应有其所在地农业部门的检疫(或检测)合格证明或检疫(或检测)验讫标识，禽蛋无机砷、铅、镉、总汞等依据相关国家标准控制在安全范围，必须保证新鲜、卫生、安全。</w:t>
      </w:r>
    </w:p>
    <w:p w14:paraId="43C34573">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2.验收标准：按照GB 2749-2015《食品安全国家标准 蛋与蛋制品》标准执行。</w:t>
      </w:r>
    </w:p>
    <w:p w14:paraId="354C28F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3.供货质量严格按照国家《中华人民共和国食品安全法》、行业有关规定及采购文件质量要求，符合国家食品安全及卫生标准。</w:t>
      </w:r>
    </w:p>
    <w:p w14:paraId="45CB691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4.蛋为鲜蛋，每枚净重不得少于50g，鲜蛋应符合GB 2749国家最新标准。须有动物检疫合格证，包装规范，应采用符合国家食品安全标准要求的包装材料。</w:t>
      </w:r>
    </w:p>
    <w:p w14:paraId="278A578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5.色泽：具有禽蛋固有的色泽。</w:t>
      </w:r>
    </w:p>
    <w:p w14:paraId="014D22F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6.组织形状：蛋壳清洁、无破裂，打开后蛋黄凸起、完整、有韧性，蛋白澄清透明、稀稠分明。</w:t>
      </w:r>
    </w:p>
    <w:p w14:paraId="07437C2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7.气味：具有产品固有的气味，无异味。</w:t>
      </w:r>
    </w:p>
    <w:p w14:paraId="42FDD76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8.杂质：无杂质，内容物不得有血块或其他鸡组织异物。</w:t>
      </w:r>
    </w:p>
    <w:p w14:paraId="1F3C7DF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鲜蛋的感官指标不低于国家有关食品质量标准的二级指标要求，应保证新鲜；散装生鲜禽蛋应有动物产品检疫（或检测）合格证明或出县境动物产品检疫（或检测）合格证明，外地生鲜禽蛋应有其所在地农业部门的检疫（或检测）合格证明或检疫（或检测）验讫标识。保证新鲜、清洁、无破损；外壳坚固完整，色泽自</w:t>
      </w:r>
      <w:r>
        <w:rPr>
          <w:rFonts w:hint="eastAsia" w:ascii="宋体" w:hAnsi="宋体" w:cs="宋体"/>
          <w:szCs w:val="21"/>
        </w:rPr>
        <w:t>海产类</w:t>
      </w:r>
      <w:r>
        <w:rPr>
          <w:rFonts w:hint="eastAsia" w:ascii="仿宋" w:hAnsi="仿宋" w:eastAsia="仿宋" w:cs="仿宋"/>
          <w:bCs/>
          <w:color w:val="auto"/>
          <w:sz w:val="24"/>
          <w:szCs w:val="24"/>
        </w:rPr>
        <w:t>然有光泽；包装应采用符合国家卫生标准要求的包装材料。</w:t>
      </w:r>
    </w:p>
    <w:p w14:paraId="6EB94717">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（八）海产类</w:t>
      </w:r>
    </w:p>
    <w:p w14:paraId="54E93FC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1．鱼类</w:t>
      </w:r>
    </w:p>
    <w:p w14:paraId="1341A4D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（1）鳞片整齐而完整。</w:t>
      </w:r>
    </w:p>
    <w:p w14:paraId="585CBDB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（2）眼睛明亮而呈水晶状。</w:t>
      </w:r>
    </w:p>
    <w:p w14:paraId="78E7F75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（3）鱼鳃鲜红，鱼肚坚挺而不下陷，鱼身结实而富弹性。</w:t>
      </w:r>
    </w:p>
    <w:p w14:paraId="7609A6B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（4）只有正常鱼腥味无腐臭味。</w:t>
      </w:r>
    </w:p>
    <w:p w14:paraId="6B4DA51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2．虾类</w:t>
      </w:r>
    </w:p>
    <w:p w14:paraId="1CC3C29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（1）鲜虾种类繁多，依其种类各有其应有的色泽。</w:t>
      </w:r>
    </w:p>
    <w:p w14:paraId="1D0C12B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（2）虾身硬挺、光滑、明亮而饱满。</w:t>
      </w:r>
    </w:p>
    <w:p w14:paraId="7336A86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（3）虾身完整。</w:t>
      </w:r>
    </w:p>
    <w:p w14:paraId="12E6906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（4）具自然虾腥味无腐臭味。</w:t>
      </w:r>
    </w:p>
    <w:p w14:paraId="323E2F9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3．蟹类</w:t>
      </w:r>
    </w:p>
    <w:p w14:paraId="16B5410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（1）蟹身丰满肥圆。</w:t>
      </w:r>
    </w:p>
    <w:p w14:paraId="428B61D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（2）蟹眼明亮、肢腿坚挺、胸背甲彀结实而坚硬。</w:t>
      </w:r>
    </w:p>
    <w:p w14:paraId="78360BF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（3）腹白而背彀内有蟹黄。</w:t>
      </w:r>
    </w:p>
    <w:p w14:paraId="4C76C54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4．蛤蚌螺类</w:t>
      </w:r>
    </w:p>
    <w:p w14:paraId="037BCD1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（1）外壳滑亮洁净。</w:t>
      </w:r>
    </w:p>
    <w:p w14:paraId="3F7825C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（2）外壳互敲时，声音清脆，无腐臭味。</w:t>
      </w:r>
    </w:p>
    <w:p w14:paraId="7F4E1A2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5．海参类</w:t>
      </w:r>
    </w:p>
    <w:p w14:paraId="724D783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（1）肉身坚挺而富弹性。</w:t>
      </w:r>
    </w:p>
    <w:p w14:paraId="2108FB1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（2）洁净而无杂质及腐臭味。</w:t>
      </w:r>
    </w:p>
    <w:p w14:paraId="709594F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6．牡蛎类：选择肉质肥圆丰满者。无腐臭味。</w:t>
      </w:r>
    </w:p>
    <w:p w14:paraId="3580D25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7．墨鱼：其身洁白、明亮、坚挺而富弹性。</w:t>
      </w:r>
    </w:p>
    <w:p w14:paraId="2A127BA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8．鱼翅：翅多，并且光洁滑亮。</w:t>
      </w:r>
    </w:p>
    <w:p w14:paraId="221F3912">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（九）水果类</w:t>
      </w:r>
    </w:p>
    <w:p w14:paraId="22DD3B3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必须保证果型匀称，色泽均匀，无干疤、斑点、裂口、腐烂，口感好。水果必须保证其新鲜度，残余农药含量不能超过GB 2763最新标准。由水果引发的食物中毒等安全事故，由成交供应商负全责。</w:t>
      </w:r>
    </w:p>
    <w:p w14:paraId="1C364284">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（十）调味品</w:t>
      </w:r>
    </w:p>
    <w:p w14:paraId="68A293F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1．食用油类</w:t>
      </w:r>
    </w:p>
    <w:p w14:paraId="401499D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（1）固体猪油白色、无杂质且具有浓厚香味。</w:t>
      </w:r>
    </w:p>
    <w:p w14:paraId="715FB9A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（2）食用油的食品安全指标应符合GB 2716-2018国家最新标准的规定。预包装原料必须为原公司（厂）生产的全新产品，符合国家相关规定的质量标准、环保标准、技术参数和规格要求并达到采购方对食材的要求，特殊食品必须符合国家有关特殊标准和规定。不得提供假冒伪劣、有毒有害食品。</w:t>
      </w:r>
    </w:p>
    <w:p w14:paraId="0061497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（3）食用油为桶装，每桶一次性密封装。</w:t>
      </w:r>
    </w:p>
    <w:p w14:paraId="2F4CAE0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（4）包装符合GB/T 17374国家最新标准。</w:t>
      </w:r>
    </w:p>
    <w:p w14:paraId="2BBE15A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（5）保质期不少于12个月。</w:t>
      </w:r>
    </w:p>
    <w:p w14:paraId="36522D6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（6）食用油在油桶上印有清晰地生产日期。油桶上注明产品名称、配料、加工原料、净含量、厂名、厂址、保质期、联系方式、质量等级、生产工艺、营养成分表、生产许可证号、贮存条件、原料原产地。</w:t>
      </w:r>
    </w:p>
    <w:p w14:paraId="09A4413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2.酱油类</w:t>
      </w:r>
    </w:p>
    <w:p w14:paraId="7D67171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3.食盐：色泽光洁、无杂质、干松。</w:t>
      </w:r>
    </w:p>
    <w:p w14:paraId="76EF044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4.味精：色泽光洁、无杂质、干松。</w:t>
      </w:r>
    </w:p>
    <w:p w14:paraId="4A84407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5.食醋：光洁、清澈、无杂质。</w:t>
      </w:r>
    </w:p>
    <w:p w14:paraId="4EA99D8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6.酒类：调理用酒大多以黄酒、高梁酒、米酒居多，选用清澈、无杂质者。</w:t>
      </w:r>
    </w:p>
    <w:p w14:paraId="5C0DE3E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7.糖类：以干松而无杂质为佳。</w:t>
      </w:r>
    </w:p>
    <w:p w14:paraId="1BED82F8">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（十一）饮料与酒 </w:t>
      </w:r>
    </w:p>
    <w:p w14:paraId="01C61A5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1.包装应密封完整，无破损、漏气的现象。</w:t>
      </w:r>
    </w:p>
    <w:p w14:paraId="27ED68E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2.包装上应标志清楚，有品名、厂名、地址、内容物、食品添加物、制造日期及保存期限。</w:t>
      </w:r>
    </w:p>
    <w:p w14:paraId="59DF267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3.固有色泽及气味，且无夹杂物及其他杂质。</w:t>
      </w:r>
    </w:p>
    <w:p w14:paraId="60D36FF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4.无凝聚及其他变质结块等现象。</w:t>
      </w:r>
    </w:p>
    <w:p w14:paraId="2A7AE3D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5.瓶装的将其慢慢横转倒立，经光线照射，透明无沉淀物及混浊现象，若为混浊制品，则不得有沉淀，而果汁制品则不在此限之内。</w:t>
      </w:r>
    </w:p>
    <w:p w14:paraId="0C9666EA">
      <w:pPr>
        <w:pStyle w:val="2"/>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FF0000"/>
          <w:sz w:val="24"/>
          <w:szCs w:val="24"/>
          <w:lang w:val="en-US" w:eastAsia="zh-CN"/>
        </w:rPr>
        <w:t xml:space="preserve"> </w:t>
      </w:r>
      <w:r>
        <w:rPr>
          <w:rFonts w:hint="eastAsia" w:ascii="仿宋" w:hAnsi="仿宋" w:eastAsia="仿宋" w:cs="仿宋"/>
          <w:bCs/>
          <w:color w:val="auto"/>
          <w:sz w:val="24"/>
          <w:szCs w:val="24"/>
          <w:lang w:val="en-US" w:eastAsia="zh-CN"/>
        </w:rPr>
        <w:t>（十二）物料类</w:t>
      </w:r>
    </w:p>
    <w:p w14:paraId="4A97BF3F">
      <w:pPr>
        <w:spacing w:line="360" w:lineRule="auto"/>
        <w:ind w:firstLine="480"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调理计量类工具、包装、清洁劳保防护、杂项物料。</w:t>
      </w:r>
    </w:p>
    <w:p w14:paraId="4783A724">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三、其他要求</w:t>
      </w:r>
    </w:p>
    <w:p w14:paraId="20AFE97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1.采购合同签订时间：供应商成交后，自成交通知书发出之日起30日内与采购人签定采购合同。</w:t>
      </w:r>
    </w:p>
    <w:p w14:paraId="179C6ED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2.供应商应保证所提供的货物及服务或其任何一部分均不会侵犯任何第三方的专利权、商标权或著作权。</w:t>
      </w:r>
    </w:p>
    <w:p w14:paraId="67543A0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★3.采购人定期核对供应商提供服务所配备的人员数量及相关信息，对于未按照招磋商文件及响应文件要求执行或存在不合理的部分有权下达整改通知书，并要求供应商限期整改。</w:t>
      </w:r>
    </w:p>
    <w:p w14:paraId="254383F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4.供应商定期及时向采购人通告本项目服务范围内有关服务的重大事项及其进度。</w:t>
      </w:r>
    </w:p>
    <w:p w14:paraId="2A2AC85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5.接受项目行业管理部门及有关部门的指导，接受采购人的监督。</w:t>
      </w:r>
    </w:p>
    <w:p w14:paraId="4654862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★6.采购食品时，索取的证件包括：营业执照、卫生许可证、卫生检验合格证、动物防疫合格证、供货商健康证等。索取的证件必须在有效期内，并符合相关规定。 </w:t>
      </w:r>
    </w:p>
    <w:p w14:paraId="33AA4F4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6.1采购食品（包括食品成品、原料及食品添加剂、食品包装材料、小型食品用工具和设备），要按照国家有关规定向供方索取产品的检验合格证和化验单，同时注意检查核对。合格证中记载的产品名称、生产日期、批号等必须与产品相符，不得涂改、伪造。 </w:t>
      </w:r>
    </w:p>
    <w:p w14:paraId="27AFD52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6.2采购乳制品、肉制品、水产制品、食用油、调味品、食品添加剂以及卫生行政部门规定应索取的其他食品等，均应严格索证；生肉、禽类就索取兽医部门的检疫合格证，食品以及原料应具有监督部门出具检疫合格证书。 </w:t>
      </w:r>
    </w:p>
    <w:p w14:paraId="1F90C66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6.3不得采购的食品及原料： a、不得采购腐败变质、掺杂掺假、发霉生虫、有毒有害、质量不新鲜的食品及原料，以及无产地、无厂名、无生产日期和保质期或标识不清以及超过保质期限的食品。 b、不得采购无卫生许可证的食品和生产经营者供应的食品。</w:t>
      </w:r>
    </w:p>
    <w:p w14:paraId="1019499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★7.所有配送的产品须符合相关食品安全生产安全标准和规定，执行过程中以国家最新颁布的标准和规定为准。</w:t>
      </w:r>
    </w:p>
    <w:p w14:paraId="3528373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8.1.采购价格</w:t>
      </w:r>
    </w:p>
    <w:p w14:paraId="62D9FB6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8.1服务期内结算价格=基准价×折扣率。</w:t>
      </w:r>
    </w:p>
    <w:p w14:paraId="5F8ED63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8.2基准价：采购人与供应商双方每月协商时间进行一次食材市场询价。</w:t>
      </w:r>
    </w:p>
    <w:p w14:paraId="05BCEB7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8.2.1本项目基准价以成都市发改委官方网站公布的《主城区18个农贸市场主副食品零售价格表》为基准价,成都市发改委官方网站公布没有的商品；供需双方共同到附近大型商超（折扣商品除外）或农贸市场询价； </w:t>
      </w:r>
    </w:p>
    <w:p w14:paraId="3BA26596">
      <w:pPr>
        <w:spacing w:line="360" w:lineRule="auto"/>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rPr>
        <w:t>★9.专职服务保障人员配置1名专职驾驶员，1名专职装卸服务人员(专职驾驶员与专职装卸服务人员不可重复)。</w:t>
      </w:r>
      <w:r>
        <w:rPr>
          <w:rFonts w:hint="eastAsia" w:ascii="仿宋" w:hAnsi="仿宋" w:eastAsia="仿宋" w:cs="仿宋"/>
          <w:b/>
          <w:bCs/>
          <w:sz w:val="24"/>
          <w:szCs w:val="24"/>
        </w:rPr>
        <w:t>（注：1.专职驾驶员应提供人有效的驾驶证和健康证以及人员在供应商单位的在职证明材料。专职装卸服务人员应提供有效的健康证和人员在供应商单位的在职证明材料。2.若供应商在响应文件中暂无法提供专职驾驶员和专职装卸服务人员的健康证的，供应商可承诺在成交后向采购人出示相关人员的健康证供采购人核查。以上资料均应加盖供应商公章）</w:t>
      </w:r>
    </w:p>
    <w:p w14:paraId="60200328">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★四、商务要求</w:t>
      </w:r>
    </w:p>
    <w:p w14:paraId="472603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1、项目服务时间：</w:t>
      </w:r>
      <w:r>
        <w:rPr>
          <w:rFonts w:hint="eastAsia" w:ascii="仿宋" w:hAnsi="仿宋" w:eastAsia="仿宋" w:cs="仿宋"/>
          <w:sz w:val="24"/>
          <w:szCs w:val="24"/>
          <w:lang w:val="en-US" w:eastAsia="zh-CN"/>
        </w:rPr>
        <w:t>合同签订之日起壹年</w:t>
      </w:r>
      <w:r>
        <w:rPr>
          <w:rFonts w:hint="eastAsia" w:ascii="仿宋" w:hAnsi="仿宋" w:eastAsia="仿宋" w:cs="仿宋"/>
          <w:sz w:val="24"/>
          <w:szCs w:val="24"/>
        </w:rPr>
        <w:t>。</w:t>
      </w:r>
    </w:p>
    <w:p w14:paraId="18597EC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2、送货时间：提前两天下单（个别特殊商品会提前一周）。</w:t>
      </w:r>
    </w:p>
    <w:p w14:paraId="3C61A86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3、履约地点：四川商务职业学院</w:t>
      </w:r>
      <w:r>
        <w:rPr>
          <w:rFonts w:hint="eastAsia" w:ascii="仿宋" w:hAnsi="仿宋" w:eastAsia="仿宋" w:cs="仿宋"/>
          <w:sz w:val="24"/>
          <w:szCs w:val="24"/>
          <w:lang w:val="en-US" w:eastAsia="zh-CN"/>
        </w:rPr>
        <w:t>和盛校区</w:t>
      </w:r>
      <w:r>
        <w:rPr>
          <w:rFonts w:hint="eastAsia" w:ascii="仿宋" w:hAnsi="仿宋" w:eastAsia="仿宋" w:cs="仿宋"/>
          <w:sz w:val="24"/>
          <w:szCs w:val="24"/>
        </w:rPr>
        <w:t>。</w:t>
      </w:r>
    </w:p>
    <w:p w14:paraId="0985766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4、付款方式：</w:t>
      </w:r>
    </w:p>
    <w:p w14:paraId="601BBC6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（1）供应商按采购人要求完成上月供货后，于次月10日前凭验收单、发票等财务结算所需资料向采购人申请付款，采购人原则上在次月底前全额支付上月货款，如遇特殊情况，经双方协商同意可适当推迟付款期；</w:t>
      </w:r>
    </w:p>
    <w:p w14:paraId="2317D91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（2）供应商须向采购人出具合法有效完整的完税发票及凭证资料后进行支付结算，付款方式均采用公对公的银行转账，供应商接受转账的开户信息以采购合同载明的为准。</w:t>
      </w:r>
    </w:p>
    <w:p w14:paraId="64EF41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5、验收标准：成交供应商与采购人将参照《财政部关于进一步加强政府采购需求和履约验收管理的指导意见》(财库〔2016〕205号)并结合本竞争性磋商文件的要求、响应文件及磋商时的承诺进行验收。</w:t>
      </w:r>
    </w:p>
    <w:p w14:paraId="49B4CEB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五、磋商过程中可能实质性变动的内容</w:t>
      </w:r>
    </w:p>
    <w:p w14:paraId="386C3D65">
      <w:pPr>
        <w:widowControl/>
        <w:wordWrap w:val="0"/>
        <w:spacing w:line="360" w:lineRule="auto"/>
        <w:ind w:firstLine="480"/>
        <w:jc w:val="left"/>
        <w:rPr>
          <w:rFonts w:hint="eastAsia" w:ascii="仿宋" w:hAnsi="仿宋" w:eastAsia="仿宋" w:cs="仿宋"/>
          <w:color w:val="auto"/>
          <w:kern w:val="1"/>
          <w:sz w:val="24"/>
          <w:szCs w:val="24"/>
        </w:rPr>
      </w:pPr>
      <w:bookmarkStart w:id="14" w:name="_Toc3276"/>
      <w:r>
        <w:rPr>
          <w:rFonts w:hint="eastAsia" w:ascii="仿宋" w:hAnsi="仿宋" w:eastAsia="仿宋"/>
          <w:sz w:val="24"/>
          <w:szCs w:val="24"/>
        </w:rPr>
        <w:t>针对第三章、第九章所包含的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bookmarkEnd w:id="14"/>
    </w:p>
    <w:p w14:paraId="2B7C1486">
      <w:pPr>
        <w:spacing w:line="360" w:lineRule="auto"/>
        <w:ind w:firstLine="482" w:firstLineChars="200"/>
        <w:rPr>
          <w:rFonts w:hint="eastAsia" w:ascii="仿宋" w:hAnsi="仿宋" w:eastAsia="仿宋" w:cs="仿宋"/>
          <w:b/>
          <w:bCs/>
          <w:color w:val="auto"/>
          <w:sz w:val="24"/>
          <w:szCs w:val="24"/>
        </w:rPr>
        <w:sectPr>
          <w:pgSz w:w="11906" w:h="16838"/>
          <w:pgMar w:top="1440" w:right="1800" w:bottom="1440" w:left="1800" w:header="851" w:footer="992" w:gutter="0"/>
          <w:cols w:space="720" w:num="1"/>
        </w:sectPr>
      </w:pPr>
      <w:r>
        <w:rPr>
          <w:rFonts w:hint="eastAsia" w:ascii="仿宋" w:hAnsi="仿宋" w:eastAsia="仿宋" w:cs="仿宋"/>
          <w:b/>
          <w:bCs/>
          <w:color w:val="auto"/>
          <w:sz w:val="24"/>
          <w:szCs w:val="24"/>
        </w:rPr>
        <w:t>六、其他未尽事宜，由采购人与成交供应商另行协商解决。</w:t>
      </w:r>
    </w:p>
    <w:p w14:paraId="522C216F">
      <w:pPr>
        <w:pStyle w:val="4"/>
        <w:wordWrap w:val="0"/>
        <w:spacing w:before="0" w:after="0" w:line="360" w:lineRule="auto"/>
        <w:rPr>
          <w:rFonts w:hint="eastAsia" w:ascii="仿宋" w:hAnsi="仿宋" w:eastAsia="仿宋" w:cs="仿宋"/>
          <w:color w:val="auto"/>
        </w:rPr>
      </w:pPr>
      <w:bookmarkStart w:id="15" w:name="_Toc4754"/>
      <w:r>
        <w:rPr>
          <w:rFonts w:hint="eastAsia" w:ascii="仿宋" w:hAnsi="仿宋" w:eastAsia="仿宋" w:cs="仿宋"/>
          <w:color w:val="auto"/>
        </w:rPr>
        <w:t>第四章 供应商和供应商产品的资格、资质性及其他类似效力要求</w:t>
      </w:r>
      <w:bookmarkEnd w:id="15"/>
    </w:p>
    <w:p w14:paraId="020B877B">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一、供应商资格、资质性及其他类似效力要求。</w:t>
      </w:r>
    </w:p>
    <w:p w14:paraId="0F59193B">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6829B1F8">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229D5727">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092547C4">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763EE073">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65358919">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51D95E85">
      <w:pPr>
        <w:wordWrap w:val="0"/>
        <w:spacing w:line="360" w:lineRule="auto"/>
        <w:ind w:firstLine="48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7、本项目的特殊资格条件：</w:t>
      </w:r>
    </w:p>
    <w:p w14:paraId="1B0BF76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（1）供应商须具有国家行政主管部门颁发且在有效期内的《食品经营许可证》。</w:t>
      </w:r>
    </w:p>
    <w:p w14:paraId="351DD64C">
      <w:pPr>
        <w:wordWrap w:val="0"/>
        <w:spacing w:line="360" w:lineRule="auto"/>
        <w:ind w:firstLine="488"/>
        <w:jc w:val="left"/>
        <w:rPr>
          <w:rFonts w:hint="eastAsia" w:ascii="仿宋" w:hAnsi="仿宋" w:eastAsia="仿宋" w:cs="仿宋"/>
          <w:b/>
          <w:bCs/>
          <w:color w:val="auto"/>
          <w:spacing w:val="2"/>
          <w:sz w:val="24"/>
          <w:szCs w:val="24"/>
        </w:rPr>
      </w:pPr>
      <w:r>
        <w:rPr>
          <w:rFonts w:hint="eastAsia" w:ascii="仿宋" w:hAnsi="仿宋" w:eastAsia="仿宋" w:cs="仿宋"/>
          <w:color w:val="auto"/>
          <w:sz w:val="24"/>
          <w:szCs w:val="24"/>
        </w:rPr>
        <w:t>（2）提供猪肉生产厂商有效的《生猪定点屠宰证》、《动物防疫条件合格证》。</w:t>
      </w:r>
    </w:p>
    <w:p w14:paraId="54B2F2D5">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8、本项目参加采购活动的供应商、法定代表人、主要负责人近三年内不得具有行贿犯罪记录；</w:t>
      </w:r>
    </w:p>
    <w:p w14:paraId="701AAB52">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9、根据《财政部关于</w:t>
      </w:r>
      <w:r>
        <w:rPr>
          <w:rFonts w:hint="eastAsia" w:ascii="仿宋" w:hAnsi="仿宋" w:eastAsia="仿宋" w:cs="仿宋"/>
          <w:color w:val="auto"/>
          <w:sz w:val="24"/>
          <w:szCs w:val="24"/>
        </w:rPr>
        <w:t>在政府采购活动中查询及使用信用记录的通知》（财库[2016]125号）的要求，</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以联合体形式参加本项目采购活动，联合体成员存在不良信用记录的，视同联合体存在不良信用记录）。</w:t>
      </w:r>
    </w:p>
    <w:p w14:paraId="4A2B4FBE">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二、供应商产品的资格、资质性及其他类似效力要求。</w:t>
      </w:r>
    </w:p>
    <w:p w14:paraId="7A9EF5AD">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无</w:t>
      </w:r>
    </w:p>
    <w:p w14:paraId="3F43DCE4">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注：</w:t>
      </w:r>
    </w:p>
    <w:p w14:paraId="297DF829">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1、重大违法记录是指供应商因违法经营受到刑事处罚或者责令停产停业、吊销许可证或者执照、较大数额罚款等行政处罚。供应商在参加采购活动前3年内因违法经营被禁止在一定期限内参加政府采购活动，期限届满的，可以参加采购活动。</w:t>
      </w:r>
    </w:p>
    <w:p w14:paraId="60A614DC">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2、本项目确定供应商重大违法记录中较大数额罚款的金额标准是：财库〔2022)3号文件中关于“较大数额罚款”认定为200万元以上的罚款，法律、行政法规以及国务院有关部门明确规定相关领域“较大数额罚款”标准高于200万元的，从其规定。</w:t>
      </w:r>
    </w:p>
    <w:p w14:paraId="5E7B1F33">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3、供应商在参加采购活动前，被纳入法院、市场监管部门、税务部门、银行认定的失信名单且在有效期内，或者在前三年采购合同履约过程中及其他经营活动履约过程中未依法履约被有关行政部门处罚(处理)的，本项目不认定其具有良好的商业信誉。若提供虚假承诺将被视为虚假响应，取消成交资格。</w:t>
      </w:r>
    </w:p>
    <w:p w14:paraId="3468DB38">
      <w:pPr>
        <w:widowControl/>
        <w:wordWrap w:val="0"/>
        <w:spacing w:line="360" w:lineRule="auto"/>
        <w:ind w:firstLine="422"/>
        <w:jc w:val="left"/>
        <w:rPr>
          <w:rFonts w:hint="eastAsia" w:ascii="仿宋" w:hAnsi="仿宋" w:eastAsia="仿宋" w:cs="仿宋"/>
          <w:b/>
          <w:color w:val="auto"/>
          <w:kern w:val="1"/>
          <w:szCs w:val="21"/>
        </w:rPr>
        <w:sectPr>
          <w:pgSz w:w="11906" w:h="16838"/>
          <w:pgMar w:top="1440" w:right="1800" w:bottom="1440" w:left="1800" w:header="851" w:footer="992" w:gutter="0"/>
          <w:cols w:space="720" w:num="1"/>
        </w:sectPr>
      </w:pPr>
    </w:p>
    <w:p w14:paraId="35AEB834">
      <w:pPr>
        <w:pStyle w:val="4"/>
        <w:wordWrap w:val="0"/>
        <w:spacing w:before="0" w:after="0" w:line="360" w:lineRule="auto"/>
        <w:rPr>
          <w:rFonts w:hint="eastAsia" w:ascii="仿宋" w:hAnsi="仿宋" w:eastAsia="仿宋" w:cs="仿宋"/>
          <w:color w:val="auto"/>
        </w:rPr>
      </w:pPr>
      <w:bookmarkStart w:id="16" w:name="_Toc23906"/>
      <w:r>
        <w:rPr>
          <w:rFonts w:hint="eastAsia" w:ascii="仿宋" w:hAnsi="仿宋" w:eastAsia="仿宋" w:cs="仿宋"/>
          <w:color w:val="auto"/>
        </w:rPr>
        <w:t>第五章 供应商应当提供的资格、资质性及其他类似效力要求的相关证明材料</w:t>
      </w:r>
      <w:bookmarkEnd w:id="16"/>
    </w:p>
    <w:p w14:paraId="0ADD79F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1、法定代表人/单位负责人身份证明书原件及法定代表人/单位负责人有效身份证复印件</w:t>
      </w:r>
      <w:r>
        <w:rPr>
          <w:rFonts w:hint="eastAsia" w:ascii="仿宋" w:hAnsi="仿宋" w:eastAsia="仿宋" w:cs="仿宋"/>
          <w:b/>
          <w:color w:val="auto"/>
          <w:sz w:val="24"/>
          <w:szCs w:val="24"/>
        </w:rPr>
        <w:t>（加盖供应商公章）</w:t>
      </w:r>
      <w:r>
        <w:rPr>
          <w:rFonts w:hint="eastAsia" w:ascii="仿宋" w:hAnsi="仿宋" w:eastAsia="仿宋" w:cs="仿宋"/>
          <w:color w:val="auto"/>
          <w:sz w:val="24"/>
          <w:szCs w:val="24"/>
        </w:rPr>
        <w:t>。</w:t>
      </w:r>
    </w:p>
    <w:p w14:paraId="6D9C8863">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2、供应商非法定代表人/单位负责人参加本次磋商，需提供法定代表人/单位负责人授权书原件与被授权人有效身份证复印件；</w:t>
      </w:r>
      <w:r>
        <w:rPr>
          <w:rFonts w:hint="eastAsia" w:ascii="仿宋" w:hAnsi="仿宋" w:eastAsia="仿宋" w:cs="仿宋"/>
          <w:b/>
          <w:color w:val="auto"/>
          <w:sz w:val="24"/>
          <w:szCs w:val="24"/>
        </w:rPr>
        <w:t>（加盖供应商公章）</w:t>
      </w:r>
    </w:p>
    <w:p w14:paraId="29293CBF">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3、具有独立承担民事责任能力的证明材料；</w:t>
      </w:r>
      <w:r>
        <w:rPr>
          <w:rFonts w:hint="eastAsia" w:ascii="仿宋" w:hAnsi="仿宋" w:eastAsia="仿宋" w:cs="仿宋"/>
          <w:b/>
          <w:color w:val="auto"/>
          <w:sz w:val="24"/>
          <w:szCs w:val="24"/>
        </w:rPr>
        <w:t>【注：①供应商若为企业法人：提供“统一社会信用代码营业执照”；未换证的提供“营业执照、税务登记证、组织机构代码证或三证合一的营业执照”；②若为事业法人：提供“统一社会信用代码事业单位法人证书”；未换证的提交“事业单位法人证书、组织机构代码证”；③若为其他组织：提供“对应主管部门颁发的准许执业证明文件或营业执照”；④若为自然人：提供“身份证明材料”。以上均提供复印件（加盖供应商公章）】</w:t>
      </w:r>
    </w:p>
    <w:p w14:paraId="2E0C2BC0">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4、具有良好的商业信誉和健全的财务会计制度的证明材料：</w:t>
      </w:r>
      <w:r>
        <w:rPr>
          <w:rFonts w:hint="eastAsia" w:ascii="仿宋" w:hAnsi="仿宋" w:eastAsia="仿宋" w:cs="仿宋"/>
          <w:b/>
          <w:color w:val="auto"/>
          <w:sz w:val="24"/>
          <w:szCs w:val="24"/>
        </w:rPr>
        <w:t>【供应商根据自身情况选择提供其中任意一项：（1）可提供</w:t>
      </w:r>
      <w:r>
        <w:rPr>
          <w:rFonts w:hint="eastAsia" w:ascii="仿宋" w:hAnsi="仿宋" w:eastAsia="仿宋" w:cs="仿宋"/>
          <w:b/>
          <w:color w:val="auto"/>
          <w:sz w:val="24"/>
          <w:szCs w:val="24"/>
          <w:lang w:eastAsia="zh-CN"/>
        </w:rPr>
        <w:t>2023年</w:t>
      </w:r>
      <w:r>
        <w:rPr>
          <w:rFonts w:hint="eastAsia" w:ascii="仿宋" w:hAnsi="仿宋" w:eastAsia="仿宋" w:cs="仿宋"/>
          <w:b/>
          <w:color w:val="auto"/>
          <w:sz w:val="24"/>
          <w:szCs w:val="24"/>
        </w:rPr>
        <w:t>度以来任意年度经审计的财务报告复印件（包含审计报告和审计报告中所涉及的财务报表和报表附注）；（2）也可提供</w:t>
      </w:r>
      <w:r>
        <w:rPr>
          <w:rFonts w:hint="eastAsia" w:ascii="仿宋" w:hAnsi="仿宋" w:eastAsia="仿宋" w:cs="仿宋"/>
          <w:b/>
          <w:color w:val="auto"/>
          <w:sz w:val="24"/>
          <w:szCs w:val="24"/>
          <w:lang w:eastAsia="zh-CN"/>
        </w:rPr>
        <w:t>2023年</w:t>
      </w:r>
      <w:r>
        <w:rPr>
          <w:rFonts w:hint="eastAsia" w:ascii="仿宋" w:hAnsi="仿宋" w:eastAsia="仿宋" w:cs="仿宋"/>
          <w:b/>
          <w:color w:val="auto"/>
          <w:sz w:val="24"/>
          <w:szCs w:val="24"/>
        </w:rPr>
        <w:t>度以来任意年度供应商内部的财务报表复印件（至少包含资产负债表）；（3）也可提供距文件递交截止日一年内银行出具的资信证明（复印件加盖公章）；（4）供应商注册时间至文件递交截止日不足一年的，也可提供在工商备案的公司章程（复印件加盖公章）；（5）供应商为个体工商户或自然人时，可提供承诺函】。【具有良好的商业信誉按照磋商文件第七章格式1-3提供承诺函原件。】</w:t>
      </w:r>
    </w:p>
    <w:p w14:paraId="23F73FB7">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5、具备履行合同所必需的设备和专业技术能力的证明材料；</w:t>
      </w:r>
      <w:r>
        <w:rPr>
          <w:rFonts w:hint="eastAsia" w:ascii="仿宋" w:hAnsi="仿宋" w:eastAsia="仿宋" w:cs="仿宋"/>
          <w:b/>
          <w:color w:val="auto"/>
          <w:sz w:val="24"/>
          <w:szCs w:val="24"/>
        </w:rPr>
        <w:t>【注：</w:t>
      </w:r>
      <w:bookmarkStart w:id="17" w:name="_Hlk517359157"/>
      <w:r>
        <w:rPr>
          <w:rFonts w:hint="eastAsia" w:ascii="仿宋" w:hAnsi="仿宋" w:eastAsia="仿宋" w:cs="仿宋"/>
          <w:b/>
          <w:color w:val="auto"/>
          <w:sz w:val="24"/>
          <w:szCs w:val="24"/>
        </w:rPr>
        <w:t>按照磋商文件第七章格式1-3提供承诺函原件。</w:t>
      </w:r>
      <w:bookmarkEnd w:id="17"/>
      <w:r>
        <w:rPr>
          <w:rFonts w:hint="eastAsia" w:ascii="仿宋" w:hAnsi="仿宋" w:eastAsia="仿宋" w:cs="仿宋"/>
          <w:b/>
          <w:color w:val="auto"/>
          <w:sz w:val="24"/>
          <w:szCs w:val="24"/>
        </w:rPr>
        <w:t>】</w:t>
      </w:r>
    </w:p>
    <w:p w14:paraId="5F541696">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6、有依法缴纳税收和社会保障资金的良好记录的证明材料；</w:t>
      </w:r>
      <w:r>
        <w:rPr>
          <w:rFonts w:hint="eastAsia" w:ascii="仿宋" w:hAnsi="仿宋" w:eastAsia="仿宋" w:cs="仿宋"/>
          <w:b/>
          <w:color w:val="auto"/>
          <w:sz w:val="24"/>
          <w:szCs w:val="24"/>
        </w:rPr>
        <w:t>【注：按照磋商文件第七章格式1-3提供承诺函原件。】</w:t>
      </w:r>
    </w:p>
    <w:p w14:paraId="37F360C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7、参加采购活动前3年内在经营活动中没有重大违法记录的证明材料；</w:t>
      </w:r>
      <w:r>
        <w:rPr>
          <w:rFonts w:hint="eastAsia" w:ascii="仿宋" w:hAnsi="仿宋" w:eastAsia="仿宋" w:cs="仿宋"/>
          <w:b/>
          <w:color w:val="auto"/>
          <w:sz w:val="24"/>
          <w:szCs w:val="24"/>
        </w:rPr>
        <w:t>【注：按照磋商文件第七章格式1-3提供承诺函原件。】</w:t>
      </w:r>
    </w:p>
    <w:p w14:paraId="0ED51F98">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8、符合法律、行政法规规定的其他条件的证明材料；</w:t>
      </w:r>
      <w:r>
        <w:rPr>
          <w:rFonts w:hint="eastAsia" w:ascii="仿宋" w:hAnsi="仿宋" w:eastAsia="仿宋" w:cs="仿宋"/>
          <w:b/>
          <w:color w:val="auto"/>
          <w:sz w:val="24"/>
          <w:szCs w:val="24"/>
        </w:rPr>
        <w:t>【注：按照磋商文件第七章格式1-3提供承诺函原件。】</w:t>
      </w:r>
    </w:p>
    <w:p w14:paraId="2129C783">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9、本项目参加采购活动的供应商、法定代表人、主要负责人近三年内不得具有行贿犯罪记录的证明材料；</w:t>
      </w:r>
      <w:r>
        <w:rPr>
          <w:rFonts w:hint="eastAsia" w:ascii="仿宋" w:hAnsi="仿宋" w:eastAsia="仿宋" w:cs="仿宋"/>
          <w:b/>
          <w:color w:val="auto"/>
          <w:sz w:val="24"/>
          <w:szCs w:val="24"/>
        </w:rPr>
        <w:t>【注：按照磋商文件第七章格式1-3提供承诺函原件。】</w:t>
      </w:r>
    </w:p>
    <w:p w14:paraId="5AD7B665">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10、供应商须具有国家行政主管部门颁发且在有效期内的《食品经营许可证》。</w:t>
      </w:r>
      <w:r>
        <w:rPr>
          <w:rFonts w:hint="eastAsia" w:ascii="仿宋" w:hAnsi="仿宋" w:eastAsia="仿宋" w:cs="仿宋"/>
          <w:b/>
          <w:bCs/>
          <w:color w:val="auto"/>
          <w:sz w:val="24"/>
        </w:rPr>
        <w:t>【注：提供有效期内证书复印件并加盖供应商公章】</w:t>
      </w:r>
    </w:p>
    <w:p w14:paraId="207D1750">
      <w:pPr>
        <w:wordWrap w:val="0"/>
        <w:spacing w:line="360" w:lineRule="auto"/>
        <w:ind w:firstLine="480"/>
        <w:jc w:val="left"/>
        <w:rPr>
          <w:rFonts w:hint="eastAsia" w:ascii="仿宋" w:hAnsi="仿宋" w:eastAsia="仿宋" w:cs="仿宋"/>
          <w:b/>
          <w:bCs/>
          <w:color w:val="auto"/>
          <w:sz w:val="24"/>
        </w:rPr>
      </w:pPr>
      <w:r>
        <w:rPr>
          <w:rFonts w:hint="eastAsia" w:ascii="仿宋" w:hAnsi="仿宋" w:eastAsia="仿宋" w:cs="仿宋"/>
          <w:color w:val="auto"/>
          <w:sz w:val="24"/>
        </w:rPr>
        <w:t>11、提供猪肉生产厂商有效的《生猪定点屠宰证》、《动物防疫条件合格证》；</w:t>
      </w:r>
      <w:r>
        <w:rPr>
          <w:rFonts w:hint="eastAsia" w:ascii="仿宋" w:hAnsi="仿宋" w:eastAsia="仿宋" w:cs="仿宋"/>
          <w:b/>
          <w:bCs/>
          <w:color w:val="auto"/>
          <w:sz w:val="24"/>
        </w:rPr>
        <w:t>【注：提供有效期内证书复印件并加盖供应商公章】</w:t>
      </w:r>
    </w:p>
    <w:p w14:paraId="79F40AA3">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12、供应商认为有必要提供的其他资格证明材料。</w:t>
      </w:r>
    </w:p>
    <w:p w14:paraId="2249005C">
      <w:pPr>
        <w:wordWrap w:val="0"/>
        <w:spacing w:line="360" w:lineRule="auto"/>
        <w:jc w:val="left"/>
        <w:rPr>
          <w:rFonts w:hint="eastAsia" w:ascii="仿宋" w:hAnsi="仿宋" w:eastAsia="仿宋" w:cs="仿宋"/>
          <w:b/>
          <w:color w:val="auto"/>
          <w:szCs w:val="21"/>
        </w:rPr>
      </w:pPr>
    </w:p>
    <w:p w14:paraId="659F87AF">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说明：</w:t>
      </w:r>
    </w:p>
    <w:p w14:paraId="3425429B">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1.确定参加磋商的供应商数量采用合格数量制，即磋商小组对各供应商资格审查后，凡符合本竞争性磋商文件规定资格条件的，均进入参加磋商的供应商名单；</w:t>
      </w:r>
    </w:p>
    <w:p w14:paraId="1478FBB8">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2.供应商提供的以上资格证明材料为复印件的均应加盖供应商公章；</w:t>
      </w:r>
    </w:p>
    <w:p w14:paraId="005D794B">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3.供应商应对其所提供的资格证明材料来源的合法性、真实性负责。</w:t>
      </w:r>
    </w:p>
    <w:p w14:paraId="1D02F59C">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kern w:val="1"/>
          <w:szCs w:val="21"/>
        </w:rPr>
        <w:t>4.本章要求按</w:t>
      </w:r>
      <w:r>
        <w:rPr>
          <w:rFonts w:hint="eastAsia" w:ascii="仿宋" w:hAnsi="仿宋" w:eastAsia="仿宋" w:cs="仿宋"/>
          <w:b/>
          <w:color w:val="auto"/>
          <w:szCs w:val="21"/>
        </w:rPr>
        <w:t>磋</w:t>
      </w:r>
      <w:r>
        <w:rPr>
          <w:rFonts w:hint="eastAsia" w:ascii="仿宋" w:hAnsi="仿宋" w:eastAsia="仿宋" w:cs="仿宋"/>
          <w:b/>
          <w:color w:val="auto"/>
          <w:kern w:val="1"/>
          <w:szCs w:val="21"/>
        </w:rPr>
        <w:t>商文件第七章格式1-3提供承诺函原件的条款只需提供一份涵盖所有内容的承诺函，不需多份提供。</w:t>
      </w:r>
    </w:p>
    <w:p w14:paraId="15952077">
      <w:pPr>
        <w:pStyle w:val="4"/>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18" w:name="_Toc24732"/>
      <w:r>
        <w:rPr>
          <w:rFonts w:hint="eastAsia" w:ascii="仿宋" w:hAnsi="仿宋" w:eastAsia="仿宋" w:cs="仿宋"/>
          <w:color w:val="auto"/>
        </w:rPr>
        <w:t>第六章 评审方法、程序和标准</w:t>
      </w:r>
      <w:bookmarkEnd w:id="18"/>
    </w:p>
    <w:p w14:paraId="150B3F56">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竞争性磋商磋商小组在评审过程中，应当参照《中华人民共和国政府采购法实施条例》（国务院令第658号）、《关于印发政府采购竞争性磋商采购方式管理暂行办法的通知》（财库[2014]214号）、《财政部关于政府采购竞争性磋商采购方式管理暂行办法有关问题的补充通知》（财库〔2015〕124号）和《四川省政府采购评审工作规程（修订）》（川财采[2016]53 号）的规定履行职责和义务，不得违法评审、违反评审工作纪律。</w:t>
      </w:r>
    </w:p>
    <w:p w14:paraId="6B89925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一、评审方法</w:t>
      </w:r>
    </w:p>
    <w:p w14:paraId="17C10EF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本项目采用的评审方法根据《政府采购竞争性磋商采购方式管理暂行办法》（财库 [2014]214号）制定。采用先磋商、后报价、再评分的评审方法。</w:t>
      </w:r>
    </w:p>
    <w:p w14:paraId="64680C7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二、评审程序</w:t>
      </w:r>
    </w:p>
    <w:p w14:paraId="06B24EC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本项目评审按照下列程序进行：</w:t>
      </w:r>
    </w:p>
    <w:p w14:paraId="0184E83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（一）资格性审查：</w:t>
      </w:r>
    </w:p>
    <w:p w14:paraId="62CD10C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 在供应商递交响应文件截止时间结束后，</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组织磋商小组对递交响应文件的供应商进行资格审查，确定邀请参加磋商的供应商名单。</w:t>
      </w:r>
    </w:p>
    <w:p w14:paraId="7009356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2、确定参加磋商的供应商数量采用合格数量制，即磋商小组对各供应商资格审查后，凡符合本竞争性磋商文件规定资格条件的，均进入参加磋商的供应商名单。</w:t>
      </w:r>
    </w:p>
    <w:p w14:paraId="2C527B9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3、磋商小组资格审查结束后，向</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 xml:space="preserve">出具资格审查报告，确定参加磋商的供应商名单。没有通过资格审查的供应商，磋商小组应在资格审查报告中说明原因。 </w:t>
      </w:r>
    </w:p>
    <w:p w14:paraId="735B711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收到磋商小组出具的资格审查报告后，当场向所有递交响应文件的供应商宣布通过及未通过资格审查的供应商名单。</w:t>
      </w:r>
    </w:p>
    <w:p w14:paraId="160DA1F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（二）磋商 </w:t>
      </w:r>
    </w:p>
    <w:p w14:paraId="240C813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1、磋商小组所有成员集中与单一供应商分别进行磋商，磋商的顺序以现场抽签的方式确定。磋商过程中磋商小组可以根据磋商情况调整轮次。 </w:t>
      </w:r>
    </w:p>
    <w:p w14:paraId="0EC4E83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对其他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30CDD9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要求供应商澄清、说明或者更正的内容应当以书面形式提出。供应商的澄清、说明或者更正材料应当采用书面形式，并签字确认或者加盖公章，否则无效。供应商为法人的，应当由其法定代表人或者代理人签字确认；供应商为其他组织的，由其主要负责人或者代理人签字确认；供应商为自然人的，由其本人或者代理人签字。澄清、说明或者更正的内容为响应文件的有效组成部分。</w:t>
      </w:r>
    </w:p>
    <w:p w14:paraId="0F9DEDB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在磋商过程中，磋商小组可以根据磋商文件和磋商情况实质性变动采购需求中的技术、服务要求以及合同草案条款，但不得变动磋商文件中的其他内容。实质性变动的内容，须经采购人代表确认。变动的内容以书面形式通知所有参加磋商的供应商，并做好书面记录。</w:t>
      </w:r>
    </w:p>
    <w:p w14:paraId="38B5ECC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供应商应当按照磋商文件的变动情况和磋商小组的要求重新提交响应文件，应当签字确认或者加盖公章，否则无效。供应商为法人的，应当由其法定代表人或者代理人签字确认；供应商为其他组织的，由其主要负责人或者代理人签字确认；供应商为自然人的，由其本人或者代理人签字。（注：要求供应商重新提交的响应文件，不必按照首次提交的响应文件内容格式提交，只需供应商就变动的内容提交相应的响应文件）</w:t>
      </w:r>
    </w:p>
    <w:p w14:paraId="3649AA4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6、磋商小组经与供应商磋商和对响应文件审查后，供应商响应文件未实质性响应磋商文件的，磋商小组应当对其响应文件按无效处理，并书面告知供应商，说明理由。 </w:t>
      </w:r>
    </w:p>
    <w:p w14:paraId="4316DFD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7、磋商结束后，磋商小组应当要求所有实质性响应的供应商在规定时间内进行最终报价，未在规定时间内提交最终报价的视为自动放弃报价资格，导致磋商终止的，不予退还其磋商保证金。 </w:t>
      </w:r>
    </w:p>
    <w:p w14:paraId="5F95A7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8、供应商进行最终报价，应当在评审室外单独填写最终报价单，密封递交招标采购单位工作人员，由招标采购单位工作人员收齐后集中递交磋商小组。招标采购单位工作人员不能拆封供应商最终报价单。</w:t>
      </w:r>
    </w:p>
    <w:p w14:paraId="0B35774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供应商提交的最终报价单，应当签字确认或者加盖公章，否则无效。供应商为法人的，应当由其法定代表人或者代理人签字确认；供应商为其他组织的，由其主要负责人或者代理人签字确认；供应商为自然人的，由其本人或者代理人签字。</w:t>
      </w:r>
    </w:p>
    <w:p w14:paraId="1D2EDB48">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（三）评审标准 </w:t>
      </w:r>
    </w:p>
    <w:p w14:paraId="299F1ADF">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1、供应商报价结束后，磋商小组应根据财政部的规定，按照磋商文件规定的评审方法和标准对提交最终报价的供应商的响应文件和最终报价进行综合评分。</w:t>
      </w:r>
    </w:p>
    <w:p w14:paraId="57D69BF3">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2、磋商小组根据综合评分情况，按照评审得分由高到低顺序推荐成交候选供应商。评审得分相同的，按照最终报价由低到高的顺序推荐。评审得分且最终报价相同的，按照技术指标优劣的顺序推荐。</w:t>
      </w:r>
    </w:p>
    <w:p w14:paraId="5F29A94B">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推荐成交候选供应商后，应当向招标采购单位出具评审报告。评审报告应当由磋商小组全体成员签字确认。磋商小组成员对评审过程和结果有不同意见的，应当在评审报告中写明并说明理由。签字但不写明不同意见或者不说明理由的，视同无意见。拒不签字又不另行书面说明其不同意见和理由的，视同同意评审结果。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50914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评审过程中，磋商小组应当按照财政部的规定进行复核。招标采购单位评审现场发现资格性检查认定错误、分值汇总计算错误、分项评分超出评分标准范围、客观分评分不一致以及磋商小组一致认定评分畸高、畸低的情形，磋商小组应当现场重新评审或者修改评审结果，并在评审报告中明确记载。</w:t>
      </w:r>
    </w:p>
    <w:p w14:paraId="19E2A51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5、除财政部规定的情形外，招标采购单位不得在现场评审活动结束后以任何方式和理由组织原磋商小组重新评审，改变评审结果。违规重新评审的，重新评审结果无效，并承担给他人造成损失的责任。</w:t>
      </w:r>
    </w:p>
    <w:p w14:paraId="26E3473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三、确定成交供应商</w:t>
      </w:r>
    </w:p>
    <w:p w14:paraId="782F816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应当自评审结束后2个工作日内将评审报告及有关资料送交采购人。采购人收到评审报告及有关资料后，应当在5个工作日以内按照评审报告中推荐的成交候选供应商顺序确定成交供应商。</w:t>
      </w:r>
    </w:p>
    <w:p w14:paraId="51848C1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2、采购人不确定排序前一位成交候选供应商为成交供应商的，应当将不确定的理由书面告知该成交候选供应商，并在四川招投标网（https://www.zbytb.com/scbid/）及学院官网（http://</w:t>
      </w:r>
      <w:r>
        <w:rPr>
          <w:rFonts w:hint="eastAsia" w:ascii="仿宋" w:hAnsi="仿宋" w:eastAsia="仿宋" w:cs="仿宋"/>
          <w:color w:val="auto"/>
          <w:kern w:val="1"/>
          <w:sz w:val="24"/>
          <w:szCs w:val="24"/>
          <w:lang w:eastAsia="zh-CN"/>
        </w:rPr>
        <w:t>www.scswcw.cn</w:t>
      </w:r>
      <w:r>
        <w:rPr>
          <w:rFonts w:hint="eastAsia" w:ascii="仿宋" w:hAnsi="仿宋" w:eastAsia="仿宋" w:cs="仿宋"/>
          <w:color w:val="auto"/>
          <w:kern w:val="1"/>
          <w:sz w:val="24"/>
          <w:szCs w:val="24"/>
        </w:rPr>
        <w:t>/list-23-1.html）公告。</w:t>
      </w:r>
    </w:p>
    <w:p w14:paraId="64FEF40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3、采购人依法确定不出成交供应商的，应当重新组织采购，书面告知成交候选供应商，说明理由，并在四川招投标网（https://www.zbytb.com/scbid/）及学院官网（http://</w:t>
      </w:r>
      <w:r>
        <w:rPr>
          <w:rFonts w:hint="eastAsia" w:ascii="仿宋" w:hAnsi="仿宋" w:eastAsia="仿宋" w:cs="仿宋"/>
          <w:color w:val="auto"/>
          <w:kern w:val="1"/>
          <w:sz w:val="24"/>
          <w:szCs w:val="24"/>
          <w:lang w:eastAsia="zh-CN"/>
        </w:rPr>
        <w:t>www.scswcw.cn</w:t>
      </w:r>
      <w:r>
        <w:rPr>
          <w:rFonts w:hint="eastAsia" w:ascii="仿宋" w:hAnsi="仿宋" w:eastAsia="仿宋" w:cs="仿宋"/>
          <w:color w:val="auto"/>
          <w:kern w:val="1"/>
          <w:sz w:val="24"/>
          <w:szCs w:val="24"/>
        </w:rPr>
        <w:t>/list-23-1.html）公告。采购人逾期未确定成交供应商且不提出异议的，视为确定评审报告提出的排序第一的成交候选供应商为成交供应商。</w:t>
      </w:r>
    </w:p>
    <w:p w14:paraId="23E531D9">
      <w:pPr>
        <w:spacing w:line="360" w:lineRule="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四、综合评分表</w:t>
      </w:r>
    </w:p>
    <w:tbl>
      <w:tblPr>
        <w:tblStyle w:val="34"/>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251"/>
        <w:gridCol w:w="800"/>
        <w:gridCol w:w="6542"/>
      </w:tblGrid>
      <w:tr w14:paraId="72F6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AB6223B">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654" w:type="pct"/>
            <w:vAlign w:val="center"/>
          </w:tcPr>
          <w:p w14:paraId="284C0774">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w:t>
            </w:r>
          </w:p>
        </w:tc>
        <w:tc>
          <w:tcPr>
            <w:tcW w:w="418" w:type="pct"/>
            <w:vAlign w:val="center"/>
          </w:tcPr>
          <w:p w14:paraId="07C6B4B3">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3420" w:type="pct"/>
            <w:vAlign w:val="center"/>
          </w:tcPr>
          <w:p w14:paraId="6D0EFC69">
            <w:pPr>
              <w:ind w:firstLine="361" w:firstLineChars="15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w:t>
            </w:r>
          </w:p>
        </w:tc>
      </w:tr>
      <w:tr w14:paraId="30A0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68A7C51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54" w:type="pct"/>
            <w:vAlign w:val="center"/>
          </w:tcPr>
          <w:p w14:paraId="07415888">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w:t>
            </w:r>
          </w:p>
        </w:tc>
        <w:tc>
          <w:tcPr>
            <w:tcW w:w="418" w:type="pct"/>
            <w:vAlign w:val="center"/>
          </w:tcPr>
          <w:p w14:paraId="70EE03F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3420" w:type="pct"/>
          </w:tcPr>
          <w:p w14:paraId="761AFB29">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（1）满足磋商文件要求且最后报价折扣率最低的供应商的价格为磋商基准价，其价格分为满分。其他供应商的价格分统一按照下列公式计算：</w:t>
            </w:r>
          </w:p>
          <w:p w14:paraId="04224B69">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（2）磋商报价得分=（磋商基准价/最后磋商报价）×10</w:t>
            </w:r>
          </w:p>
          <w:p w14:paraId="32B3A3D5">
            <w:pPr>
              <w:pStyle w:val="2"/>
              <w:spacing w:after="0" w:line="360" w:lineRule="auto"/>
            </w:pPr>
            <w:r>
              <w:rPr>
                <w:rFonts w:hint="eastAsia" w:ascii="仿宋" w:hAnsi="仿宋" w:eastAsia="仿宋" w:cs="仿宋"/>
                <w:b/>
                <w:bCs/>
                <w:sz w:val="24"/>
                <w:szCs w:val="24"/>
              </w:rPr>
              <w:t>注：本项目报价为统一折扣率，折扣率的计算方式为：如：供应商在投标时的统一折扣率为80%，单价限价为100元，则结算价格为：100元×80%＝80元。</w:t>
            </w:r>
          </w:p>
        </w:tc>
      </w:tr>
      <w:tr w14:paraId="79DD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8D97A7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654" w:type="pct"/>
            <w:vAlign w:val="center"/>
          </w:tcPr>
          <w:p w14:paraId="3A3BBF8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整体服务方案</w:t>
            </w:r>
          </w:p>
        </w:tc>
        <w:tc>
          <w:tcPr>
            <w:tcW w:w="418" w:type="pct"/>
            <w:vAlign w:val="center"/>
          </w:tcPr>
          <w:p w14:paraId="212EB260">
            <w:pPr>
              <w:jc w:val="center"/>
              <w:rPr>
                <w:rFonts w:hint="eastAsia" w:ascii="仿宋" w:hAnsi="仿宋" w:eastAsia="仿宋" w:cs="仿宋"/>
                <w:color w:val="auto"/>
                <w:sz w:val="24"/>
                <w:szCs w:val="24"/>
              </w:rPr>
            </w:pPr>
            <w:r>
              <w:rPr>
                <w:rFonts w:hint="eastAsia" w:ascii="仿宋" w:hAnsi="仿宋" w:eastAsia="仿宋" w:cs="仿宋"/>
                <w:bCs/>
                <w:sz w:val="24"/>
                <w:szCs w:val="24"/>
              </w:rPr>
              <w:t>14分</w:t>
            </w:r>
          </w:p>
        </w:tc>
        <w:tc>
          <w:tcPr>
            <w:tcW w:w="3420" w:type="pct"/>
          </w:tcPr>
          <w:p w14:paraId="177DBFAE">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供应商结合本项目采购需求编制项目整体服务方案，包括：</w:t>
            </w:r>
          </w:p>
          <w:p w14:paraId="4E2F2F88">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（1）项目背景分析；</w:t>
            </w:r>
          </w:p>
          <w:p w14:paraId="033F4C87">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（2）整体服务理念；</w:t>
            </w:r>
          </w:p>
          <w:p w14:paraId="2E677B89">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（3）机构设置及人员安排；</w:t>
            </w:r>
          </w:p>
          <w:p w14:paraId="52FAFBDB">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（4）监督考核办法；</w:t>
            </w:r>
          </w:p>
          <w:p w14:paraId="019CDD2D">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14分，每缺少一项内容扣3.5分，扣完为止；单项内容每存在一处缺陷（缺陷是指：逻辑错误、科学原理错误、表述错误、存在与项目无关的内容、不符合本项目涉及的相关规范或标准要求的任意一种情形）扣1.75分，单项内容分扣完为止</w:t>
            </w:r>
          </w:p>
        </w:tc>
      </w:tr>
      <w:tr w14:paraId="2489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4780A2E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54" w:type="pct"/>
            <w:vAlign w:val="center"/>
          </w:tcPr>
          <w:p w14:paraId="2CF6D2A3">
            <w:pPr>
              <w:jc w:val="center"/>
              <w:rPr>
                <w:rFonts w:hint="eastAsia" w:ascii="仿宋" w:hAnsi="仿宋" w:eastAsia="仿宋" w:cs="仿宋"/>
                <w:color w:val="auto"/>
                <w:sz w:val="24"/>
                <w:szCs w:val="24"/>
              </w:rPr>
            </w:pPr>
            <w:r>
              <w:rPr>
                <w:rFonts w:hint="eastAsia" w:ascii="仿宋" w:hAnsi="仿宋" w:eastAsia="仿宋" w:cs="仿宋"/>
                <w:bCs/>
                <w:sz w:val="24"/>
                <w:szCs w:val="24"/>
              </w:rPr>
              <w:t>配送措施</w:t>
            </w:r>
          </w:p>
        </w:tc>
        <w:tc>
          <w:tcPr>
            <w:tcW w:w="418" w:type="pct"/>
            <w:vAlign w:val="center"/>
          </w:tcPr>
          <w:p w14:paraId="13FB72B6">
            <w:pPr>
              <w:jc w:val="center"/>
              <w:rPr>
                <w:rFonts w:hint="eastAsia" w:ascii="仿宋" w:hAnsi="仿宋" w:eastAsia="仿宋" w:cs="仿宋"/>
                <w:bCs/>
                <w:sz w:val="24"/>
                <w:szCs w:val="24"/>
              </w:rPr>
            </w:pPr>
            <w:r>
              <w:rPr>
                <w:rFonts w:hint="eastAsia" w:ascii="仿宋" w:hAnsi="仿宋" w:eastAsia="仿宋" w:cs="仿宋"/>
                <w:bCs/>
                <w:sz w:val="24"/>
                <w:szCs w:val="24"/>
              </w:rPr>
              <w:t>12分</w:t>
            </w:r>
          </w:p>
        </w:tc>
        <w:tc>
          <w:tcPr>
            <w:tcW w:w="3420" w:type="pct"/>
          </w:tcPr>
          <w:p w14:paraId="306C6C23">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供应商结合本项目采购需求编制项目配送措施，包括：</w:t>
            </w:r>
          </w:p>
          <w:p w14:paraId="4A7D412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（1）食品采购及出入库管理；</w:t>
            </w:r>
          </w:p>
          <w:p w14:paraId="42391EC1">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（2）地理因素分析及配送路线选择；</w:t>
            </w:r>
          </w:p>
          <w:p w14:paraId="245DA4B0">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（3）配送时效性及配送时间安排；</w:t>
            </w:r>
          </w:p>
          <w:p w14:paraId="3783ADDC">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（4）环境因素分析及食材保存建议；</w:t>
            </w:r>
          </w:p>
          <w:p w14:paraId="51B1940F">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12分，每缺少一项内容扣3分，扣完为止；单项内容每存在一处缺陷（缺陷是指：逻辑错误、科学原理错误、表述错误、存在与项目无关的内容、不符合本项目涉及的相关规范或标准要求的任意一种情形）扣1.5分，单项内容分扣完为止</w:t>
            </w:r>
          </w:p>
        </w:tc>
      </w:tr>
      <w:tr w14:paraId="357E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568B421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654" w:type="pct"/>
            <w:vAlign w:val="center"/>
          </w:tcPr>
          <w:p w14:paraId="3773FBF9">
            <w:pPr>
              <w:jc w:val="center"/>
              <w:rPr>
                <w:rFonts w:hint="eastAsia" w:ascii="仿宋" w:hAnsi="仿宋" w:eastAsia="仿宋" w:cs="仿宋"/>
                <w:bCs/>
                <w:sz w:val="24"/>
                <w:szCs w:val="24"/>
              </w:rPr>
            </w:pPr>
            <w:r>
              <w:rPr>
                <w:rFonts w:hint="eastAsia" w:ascii="仿宋" w:hAnsi="仿宋" w:eastAsia="仿宋" w:cs="仿宋"/>
                <w:bCs/>
                <w:sz w:val="24"/>
                <w:szCs w:val="24"/>
              </w:rPr>
              <w:t>管理措施</w:t>
            </w:r>
          </w:p>
        </w:tc>
        <w:tc>
          <w:tcPr>
            <w:tcW w:w="418" w:type="pct"/>
            <w:vAlign w:val="center"/>
          </w:tcPr>
          <w:p w14:paraId="77964417">
            <w:pPr>
              <w:jc w:val="center"/>
              <w:rPr>
                <w:rFonts w:hint="eastAsia" w:ascii="仿宋" w:hAnsi="仿宋" w:eastAsia="仿宋" w:cs="仿宋"/>
                <w:bCs/>
                <w:sz w:val="24"/>
                <w:szCs w:val="24"/>
              </w:rPr>
            </w:pPr>
            <w:r>
              <w:rPr>
                <w:rFonts w:hint="eastAsia" w:ascii="仿宋" w:hAnsi="仿宋" w:eastAsia="仿宋" w:cs="仿宋"/>
                <w:bCs/>
                <w:sz w:val="24"/>
                <w:szCs w:val="24"/>
              </w:rPr>
              <w:t>12分</w:t>
            </w:r>
          </w:p>
        </w:tc>
        <w:tc>
          <w:tcPr>
            <w:tcW w:w="3420" w:type="pct"/>
          </w:tcPr>
          <w:p w14:paraId="5ABF0EE1">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供应商结合本项目采购需求编制项目管理措施，包括：</w:t>
            </w:r>
          </w:p>
          <w:p w14:paraId="6EAAB68F">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（1）食品质量安全管理体系；</w:t>
            </w:r>
          </w:p>
          <w:p w14:paraId="262A9093">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（2）食品安全管控指标；</w:t>
            </w:r>
          </w:p>
          <w:p w14:paraId="49F91E5C">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（3）食品安全管理岗位责任；</w:t>
            </w:r>
          </w:p>
          <w:p w14:paraId="750E89C8">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（4）食品来源追溯体系；</w:t>
            </w:r>
          </w:p>
          <w:p w14:paraId="49C8C01B">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12分，每缺少一项内容扣3分，扣完为止；单项内容每存在一处缺陷（缺陷是指：逻辑错误、科学原理错误、表述错误、存在与项目无关的内容、不符合本项目涉及的相关规范或标准要求的任意一种情形）扣1.5分，单项内容分扣完为止</w:t>
            </w:r>
          </w:p>
        </w:tc>
      </w:tr>
      <w:tr w14:paraId="2C5E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5804533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654" w:type="pct"/>
            <w:vAlign w:val="center"/>
          </w:tcPr>
          <w:p w14:paraId="38F8A0DF">
            <w:pPr>
              <w:jc w:val="center"/>
              <w:rPr>
                <w:rFonts w:hint="eastAsia" w:ascii="仿宋" w:hAnsi="仿宋" w:eastAsia="仿宋" w:cs="仿宋"/>
                <w:bCs/>
                <w:sz w:val="24"/>
                <w:szCs w:val="24"/>
              </w:rPr>
            </w:pPr>
            <w:r>
              <w:rPr>
                <w:rFonts w:hint="eastAsia" w:ascii="仿宋" w:hAnsi="仿宋" w:eastAsia="仿宋" w:cs="仿宋"/>
                <w:bCs/>
                <w:sz w:val="24"/>
                <w:szCs w:val="24"/>
              </w:rPr>
              <w:t>应急预案</w:t>
            </w:r>
          </w:p>
        </w:tc>
        <w:tc>
          <w:tcPr>
            <w:tcW w:w="418" w:type="pct"/>
            <w:vAlign w:val="center"/>
          </w:tcPr>
          <w:p w14:paraId="35406095">
            <w:pPr>
              <w:jc w:val="center"/>
              <w:rPr>
                <w:rFonts w:hint="eastAsia" w:ascii="仿宋" w:hAnsi="仿宋" w:eastAsia="仿宋" w:cs="仿宋"/>
                <w:bCs/>
                <w:sz w:val="24"/>
                <w:szCs w:val="24"/>
              </w:rPr>
            </w:pPr>
            <w:r>
              <w:rPr>
                <w:rFonts w:hint="eastAsia" w:ascii="仿宋" w:hAnsi="仿宋" w:eastAsia="仿宋" w:cs="仿宋"/>
                <w:bCs/>
                <w:sz w:val="24"/>
                <w:szCs w:val="24"/>
              </w:rPr>
              <w:t>12分</w:t>
            </w:r>
          </w:p>
        </w:tc>
        <w:tc>
          <w:tcPr>
            <w:tcW w:w="3420" w:type="pct"/>
          </w:tcPr>
          <w:p w14:paraId="01C5F83E">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供应商结合本项目采购需求编制项目应急预案，包括：</w:t>
            </w:r>
          </w:p>
          <w:p w14:paraId="22D11A4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（1）食品安全事故应急预案；</w:t>
            </w:r>
          </w:p>
          <w:p w14:paraId="4AE9A84D">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（2）发生影响正常配送的突发情况的应急预案；</w:t>
            </w:r>
          </w:p>
          <w:p w14:paraId="00EA7DA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（3）自然灾害应急预案；</w:t>
            </w:r>
          </w:p>
          <w:p w14:paraId="3EE2FD75">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（4）公共卫生安全防控；</w:t>
            </w:r>
          </w:p>
          <w:p w14:paraId="2522352B">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12分，每缺少一项内容扣3分，扣完为止；单项内容每存在一处缺陷（缺陷是指：逻辑错误、科学原理错误、表述错误、存在与项目无关的内容、不符合本项目涉及的相关规范或标准要求的任意一种情形）扣1.5分，单项内容分扣完为止</w:t>
            </w:r>
          </w:p>
        </w:tc>
      </w:tr>
      <w:tr w14:paraId="1CC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3E57098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654" w:type="pct"/>
            <w:vAlign w:val="center"/>
          </w:tcPr>
          <w:p w14:paraId="2C160193">
            <w:pPr>
              <w:jc w:val="center"/>
              <w:rPr>
                <w:rFonts w:hint="eastAsia" w:ascii="仿宋" w:hAnsi="仿宋" w:eastAsia="仿宋" w:cs="仿宋"/>
                <w:bCs/>
                <w:sz w:val="24"/>
                <w:szCs w:val="24"/>
              </w:rPr>
            </w:pPr>
            <w:r>
              <w:rPr>
                <w:rFonts w:hint="eastAsia" w:ascii="仿宋" w:hAnsi="仿宋" w:eastAsia="仿宋" w:cs="仿宋"/>
                <w:sz w:val="24"/>
                <w:szCs w:val="24"/>
              </w:rPr>
              <w:t>人员保障</w:t>
            </w:r>
          </w:p>
        </w:tc>
        <w:tc>
          <w:tcPr>
            <w:tcW w:w="418" w:type="pct"/>
            <w:vAlign w:val="center"/>
          </w:tcPr>
          <w:p w14:paraId="63472357">
            <w:pPr>
              <w:jc w:val="center"/>
              <w:rPr>
                <w:rFonts w:hint="eastAsia" w:ascii="仿宋" w:hAnsi="仿宋" w:eastAsia="仿宋" w:cs="仿宋"/>
                <w:bCs/>
                <w:sz w:val="24"/>
                <w:szCs w:val="24"/>
              </w:rPr>
            </w:pPr>
            <w:r>
              <w:rPr>
                <w:rFonts w:hint="eastAsia" w:ascii="仿宋" w:hAnsi="仿宋" w:eastAsia="仿宋" w:cs="仿宋"/>
                <w:sz w:val="24"/>
                <w:szCs w:val="24"/>
              </w:rPr>
              <w:t>9分</w:t>
            </w:r>
          </w:p>
        </w:tc>
        <w:tc>
          <w:tcPr>
            <w:tcW w:w="3420" w:type="pct"/>
          </w:tcPr>
          <w:p w14:paraId="3B23B0A0">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（1）供应商拟为项目配置专职装卸服务人员，人数在满足磋商文件要求(配置1名专职装卸服务人员)的基础上，每增加1名得1分，本项最多得3分。</w:t>
            </w:r>
          </w:p>
          <w:p w14:paraId="633BB2CE">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（2）供应商拟为项目配置专职驾驶人员，人数在满足磋商文件要求(配置1名专职驾驶人员)的基础上，每增加1名得1分，本项最多得3分。</w:t>
            </w:r>
          </w:p>
          <w:p w14:paraId="04476A0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（3）专职服务保障人员具有行政部门颁发且在有效期内的食品检验员证书的每有1人得1.5分，最多得3分。</w:t>
            </w:r>
          </w:p>
          <w:p w14:paraId="42BB0BD9">
            <w:pPr>
              <w:pStyle w:val="2"/>
              <w:spacing w:after="0" w:line="360" w:lineRule="auto"/>
              <w:rPr>
                <w:rFonts w:hint="eastAsia" w:ascii="仿宋" w:hAnsi="仿宋" w:eastAsia="仿宋" w:cs="仿宋"/>
                <w:sz w:val="24"/>
                <w:szCs w:val="24"/>
              </w:rPr>
            </w:pPr>
            <w:r>
              <w:rPr>
                <w:rFonts w:hint="eastAsia" w:ascii="仿宋" w:hAnsi="仿宋" w:eastAsia="仿宋" w:cs="仿宋"/>
                <w:b/>
                <w:bCs/>
                <w:sz w:val="24"/>
                <w:szCs w:val="24"/>
              </w:rPr>
              <w:t>注：①提供所有人员名单、有效期内的身份证、健康证、劳动/劳务关系的证明材料(如劳动合同或工资转款证明或其他能证明为供应商单位人员的相关证明等)的复印件。②提供所配置的专业岗位人员应具有相关执业证书复印件：驾驶员应持有有效的驾驶证(准驾车型应满足配送车辆驾驶要求)，食品检验人员应具有相关专业培训合格证书或有关部门颁发的执业证书。</w:t>
            </w:r>
          </w:p>
        </w:tc>
      </w:tr>
      <w:tr w14:paraId="6EE9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647704D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654" w:type="pct"/>
            <w:vAlign w:val="center"/>
          </w:tcPr>
          <w:p w14:paraId="4501EB19">
            <w:pPr>
              <w:jc w:val="center"/>
              <w:rPr>
                <w:rFonts w:hint="eastAsia" w:ascii="仿宋" w:hAnsi="仿宋" w:eastAsia="仿宋" w:cs="仿宋"/>
                <w:sz w:val="24"/>
                <w:szCs w:val="24"/>
              </w:rPr>
            </w:pPr>
            <w:r>
              <w:rPr>
                <w:rFonts w:hint="eastAsia" w:ascii="仿宋" w:hAnsi="仿宋" w:eastAsia="仿宋" w:cs="仿宋"/>
                <w:sz w:val="24"/>
                <w:szCs w:val="24"/>
              </w:rPr>
              <w:t>物流保障</w:t>
            </w:r>
          </w:p>
        </w:tc>
        <w:tc>
          <w:tcPr>
            <w:tcW w:w="418" w:type="pct"/>
            <w:vAlign w:val="center"/>
          </w:tcPr>
          <w:p w14:paraId="75A4F7FE">
            <w:pPr>
              <w:jc w:val="center"/>
              <w:rPr>
                <w:rFonts w:hint="eastAsia" w:ascii="仿宋" w:hAnsi="仿宋" w:eastAsia="仿宋" w:cs="仿宋"/>
                <w:sz w:val="24"/>
                <w:szCs w:val="24"/>
              </w:rPr>
            </w:pPr>
            <w:r>
              <w:rPr>
                <w:rFonts w:hint="eastAsia" w:ascii="仿宋" w:hAnsi="仿宋" w:eastAsia="仿宋" w:cs="仿宋"/>
                <w:sz w:val="24"/>
                <w:szCs w:val="24"/>
              </w:rPr>
              <w:t>4分</w:t>
            </w:r>
          </w:p>
        </w:tc>
        <w:tc>
          <w:tcPr>
            <w:tcW w:w="3420" w:type="pct"/>
          </w:tcPr>
          <w:p w14:paraId="54CACA47">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供应商拟为本项目投入1辆封闭式配送车辆或冷链运输车辆的得2分，每增加1辆封闭式配送车辆或冷链运输车辆的加1分，最多得4分。</w:t>
            </w:r>
          </w:p>
          <w:p w14:paraId="02BEDB24">
            <w:pPr>
              <w:pStyle w:val="2"/>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注：提供有效期内的租赁合同(自有车辆提供购置发票复印件)、车辆行驶证复印件及车辆内外部实景照片。外部照片应为车辆外观和车辆号牌的同框实景照片(能辨别出该配送车辆为厢式货车，否则不计入配送车辆数量)；内部照片应为货箱内景和车辆号牌的同框实景照片[能辨别出该配送车辆内部结构平整、干净整洁，温度控制设备(若有)，否则不计入配送车辆数量]。未按要求提供证明材料不纳入评分计算范围。</w:t>
            </w:r>
          </w:p>
        </w:tc>
      </w:tr>
      <w:tr w14:paraId="18D1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1429EBA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654" w:type="pct"/>
            <w:vAlign w:val="center"/>
          </w:tcPr>
          <w:p w14:paraId="2741749A">
            <w:pPr>
              <w:jc w:val="center"/>
              <w:rPr>
                <w:rFonts w:hint="eastAsia" w:ascii="仿宋" w:hAnsi="仿宋" w:eastAsia="仿宋" w:cs="仿宋"/>
                <w:sz w:val="24"/>
                <w:szCs w:val="24"/>
              </w:rPr>
            </w:pPr>
            <w:r>
              <w:rPr>
                <w:rFonts w:hint="eastAsia" w:ascii="仿宋" w:hAnsi="仿宋" w:eastAsia="仿宋" w:cs="仿宋"/>
                <w:sz w:val="24"/>
                <w:szCs w:val="24"/>
              </w:rPr>
              <w:t>仓储库房</w:t>
            </w:r>
          </w:p>
        </w:tc>
        <w:tc>
          <w:tcPr>
            <w:tcW w:w="418" w:type="pct"/>
            <w:vAlign w:val="center"/>
          </w:tcPr>
          <w:p w14:paraId="15230E1E">
            <w:pPr>
              <w:jc w:val="center"/>
              <w:rPr>
                <w:rFonts w:hint="eastAsia" w:ascii="仿宋" w:hAnsi="仿宋" w:eastAsia="仿宋" w:cs="仿宋"/>
                <w:sz w:val="24"/>
                <w:szCs w:val="24"/>
              </w:rPr>
            </w:pPr>
            <w:r>
              <w:rPr>
                <w:rFonts w:hint="eastAsia" w:ascii="仿宋" w:hAnsi="仿宋" w:eastAsia="仿宋" w:cs="仿宋"/>
                <w:bCs/>
                <w:sz w:val="24"/>
                <w:szCs w:val="24"/>
              </w:rPr>
              <w:t>3分</w:t>
            </w:r>
          </w:p>
        </w:tc>
        <w:tc>
          <w:tcPr>
            <w:tcW w:w="3420" w:type="pct"/>
          </w:tcPr>
          <w:p w14:paraId="7CE1440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供应商拟为本项目提供满足项目所需的安全标准仓储场所达到100㎡得1分，在此基础上，每增加100㎡加1分，最多加2分，本项满分3分，以下三种方式选其一均可。</w:t>
            </w:r>
          </w:p>
          <w:p w14:paraId="68FBA40C">
            <w:pPr>
              <w:pStyle w:val="2"/>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注：①仓储场所场为自有的，提供房产证明复印件、仓储场所场所内外部照片；②仓储场所场为租赁的，提供租赁合同复印件、仓储场所场所内外部照片；</w:t>
            </w:r>
            <w:r>
              <w:rPr>
                <w:rFonts w:ascii="仿宋" w:hAnsi="仿宋" w:eastAsia="仿宋" w:cs="仿宋"/>
                <w:b/>
                <w:bCs/>
                <w:sz w:val="24"/>
                <w:szCs w:val="24"/>
              </w:rPr>
              <w:t>③</w:t>
            </w:r>
            <w:r>
              <w:rPr>
                <w:rFonts w:hint="eastAsia" w:ascii="仿宋" w:hAnsi="仿宋" w:eastAsia="仿宋" w:cs="仿宋"/>
                <w:b/>
                <w:bCs/>
                <w:sz w:val="24"/>
                <w:szCs w:val="24"/>
              </w:rPr>
              <w:t>承诺本项目如果成交在签订合同前提供满足本项目所需的安全标准仓储场所的承诺函原件。</w:t>
            </w:r>
          </w:p>
        </w:tc>
      </w:tr>
      <w:tr w14:paraId="511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EF479B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654" w:type="pct"/>
            <w:vAlign w:val="center"/>
          </w:tcPr>
          <w:p w14:paraId="73EE39AB">
            <w:pPr>
              <w:jc w:val="center"/>
              <w:rPr>
                <w:rFonts w:hint="eastAsia" w:ascii="仿宋" w:hAnsi="仿宋" w:eastAsia="仿宋" w:cs="仿宋"/>
                <w:sz w:val="24"/>
                <w:szCs w:val="24"/>
              </w:rPr>
            </w:pPr>
            <w:r>
              <w:rPr>
                <w:rFonts w:hint="eastAsia" w:ascii="仿宋" w:hAnsi="仿宋" w:eastAsia="仿宋" w:cs="仿宋"/>
                <w:bCs/>
                <w:sz w:val="24"/>
                <w:szCs w:val="24"/>
              </w:rPr>
              <w:t>食品安全保障</w:t>
            </w:r>
          </w:p>
        </w:tc>
        <w:tc>
          <w:tcPr>
            <w:tcW w:w="418" w:type="pct"/>
            <w:vAlign w:val="center"/>
          </w:tcPr>
          <w:p w14:paraId="15274D4F">
            <w:pPr>
              <w:jc w:val="center"/>
              <w:rPr>
                <w:rFonts w:hint="eastAsia" w:ascii="仿宋" w:hAnsi="仿宋" w:eastAsia="仿宋" w:cs="仿宋"/>
                <w:bCs/>
                <w:sz w:val="24"/>
                <w:szCs w:val="24"/>
              </w:rPr>
            </w:pPr>
            <w:r>
              <w:rPr>
                <w:rFonts w:hint="eastAsia" w:ascii="仿宋" w:hAnsi="仿宋" w:eastAsia="仿宋" w:cs="仿宋"/>
                <w:bCs/>
                <w:sz w:val="24"/>
                <w:szCs w:val="24"/>
              </w:rPr>
              <w:t>5分</w:t>
            </w:r>
          </w:p>
        </w:tc>
        <w:tc>
          <w:tcPr>
            <w:tcW w:w="3420" w:type="pct"/>
          </w:tcPr>
          <w:p w14:paraId="1FCD90AA">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供应商承诺成交后购买不低于采购预算额度的食品安全责任保险，保险范围须包含相应货物内容的得5分。</w:t>
            </w:r>
          </w:p>
          <w:p w14:paraId="2C338FBE">
            <w:pPr>
              <w:pStyle w:val="2"/>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注：须提供承诺函原件并加盖供应商鲜章，未提供不得分。</w:t>
            </w:r>
          </w:p>
        </w:tc>
      </w:tr>
      <w:tr w14:paraId="56F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07" w:type="pct"/>
            <w:vAlign w:val="center"/>
          </w:tcPr>
          <w:p w14:paraId="0F6B57F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654" w:type="pct"/>
            <w:vAlign w:val="center"/>
          </w:tcPr>
          <w:p w14:paraId="241AEFD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履约能力</w:t>
            </w:r>
          </w:p>
        </w:tc>
        <w:tc>
          <w:tcPr>
            <w:tcW w:w="418" w:type="pct"/>
            <w:vAlign w:val="center"/>
          </w:tcPr>
          <w:p w14:paraId="38707CD3">
            <w:pPr>
              <w:jc w:val="center"/>
              <w:rPr>
                <w:rFonts w:hint="eastAsia" w:ascii="仿宋" w:hAnsi="仿宋" w:eastAsia="仿宋" w:cs="仿宋"/>
                <w:color w:val="auto"/>
                <w:sz w:val="24"/>
                <w:szCs w:val="24"/>
              </w:rPr>
            </w:pPr>
            <w:r>
              <w:rPr>
                <w:rFonts w:ascii="仿宋" w:hAnsi="仿宋" w:eastAsia="仿宋" w:cs="仿宋"/>
                <w:color w:val="auto"/>
                <w:sz w:val="24"/>
                <w:szCs w:val="24"/>
              </w:rPr>
              <w:t>16分</w:t>
            </w:r>
          </w:p>
        </w:tc>
        <w:tc>
          <w:tcPr>
            <w:tcW w:w="3420" w:type="pct"/>
          </w:tcPr>
          <w:p w14:paraId="4E718371">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（1）根据供应商202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年1月1日至提交首次响应文件截止日的类似业绩进行评审。每具有1个得2分，最多得10分。</w:t>
            </w:r>
          </w:p>
          <w:p w14:paraId="73CC6941">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注：提供合同复印件及良好履约证明材料复印件。</w:t>
            </w:r>
          </w:p>
          <w:p w14:paraId="03EECF57">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年1月1日以来产品质量监督检验所出具的蔬菜类合格检验报告任意1份均可，满足要求的得2分，不满足不得分。</w:t>
            </w:r>
          </w:p>
          <w:p w14:paraId="7B94DF4B">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注：提供检验报告复印件。</w:t>
            </w:r>
          </w:p>
          <w:p w14:paraId="19474446">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年1月1日以来产品质量监督检验所出具的副食品(油、干杂调料等)类合格检验报告任意1份均可，满足要求的得2分，不满足不得分。</w:t>
            </w:r>
          </w:p>
          <w:p w14:paraId="5E12E700">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注：提供检验报告复印件。</w:t>
            </w:r>
          </w:p>
          <w:p w14:paraId="1634E656">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年1月1日以来产品质量监督检验所出具的禽类(鸡、鸭、鱼)、鸡蛋及其他肉类(牛、羊、兔等)合格检验报告任意1份均可，满足要求的得2分，不满足不得分。</w:t>
            </w:r>
          </w:p>
          <w:p w14:paraId="067523F9">
            <w:pPr>
              <w:pStyle w:val="2"/>
              <w:spacing w:after="0"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注：提供检验报告复印件。</w:t>
            </w:r>
          </w:p>
        </w:tc>
      </w:tr>
      <w:tr w14:paraId="7368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Align w:val="center"/>
          </w:tcPr>
          <w:p w14:paraId="1272167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654" w:type="pct"/>
            <w:vAlign w:val="center"/>
          </w:tcPr>
          <w:p w14:paraId="3DD3912B">
            <w:pPr>
              <w:rPr>
                <w:rFonts w:hint="eastAsia" w:ascii="仿宋" w:hAnsi="仿宋" w:eastAsia="仿宋" w:cs="仿宋"/>
                <w:bCs/>
                <w:sz w:val="24"/>
                <w:szCs w:val="24"/>
              </w:rPr>
            </w:pPr>
            <w:r>
              <w:rPr>
                <w:rFonts w:hint="eastAsia" w:ascii="仿宋" w:hAnsi="仿宋" w:eastAsia="仿宋" w:cs="仿宋"/>
                <w:bCs/>
                <w:sz w:val="24"/>
                <w:szCs w:val="24"/>
              </w:rPr>
              <w:t>管理体系</w:t>
            </w:r>
          </w:p>
          <w:p w14:paraId="7874E739">
            <w:pPr>
              <w:jc w:val="center"/>
              <w:rPr>
                <w:rFonts w:hint="eastAsia" w:ascii="仿宋" w:hAnsi="仿宋" w:eastAsia="仿宋" w:cs="仿宋"/>
                <w:color w:val="auto"/>
                <w:sz w:val="24"/>
                <w:szCs w:val="24"/>
              </w:rPr>
            </w:pPr>
            <w:r>
              <w:rPr>
                <w:rFonts w:hint="eastAsia" w:ascii="仿宋" w:hAnsi="仿宋" w:eastAsia="仿宋" w:cs="仿宋"/>
                <w:bCs/>
                <w:sz w:val="24"/>
                <w:szCs w:val="24"/>
              </w:rPr>
              <w:t>认证</w:t>
            </w:r>
          </w:p>
        </w:tc>
        <w:tc>
          <w:tcPr>
            <w:tcW w:w="418" w:type="pct"/>
            <w:vAlign w:val="center"/>
          </w:tcPr>
          <w:p w14:paraId="37D77649">
            <w:pPr>
              <w:jc w:val="center"/>
              <w:rPr>
                <w:rFonts w:hint="eastAsia" w:ascii="仿宋" w:hAnsi="仿宋" w:eastAsia="仿宋" w:cs="仿宋"/>
                <w:color w:val="auto"/>
                <w:sz w:val="24"/>
                <w:szCs w:val="24"/>
              </w:rPr>
            </w:pPr>
            <w:r>
              <w:rPr>
                <w:rFonts w:hint="eastAsia" w:ascii="仿宋" w:hAnsi="仿宋" w:eastAsia="仿宋" w:cs="仿宋"/>
                <w:bCs/>
                <w:sz w:val="24"/>
                <w:szCs w:val="24"/>
              </w:rPr>
              <w:t>3分</w:t>
            </w:r>
          </w:p>
        </w:tc>
        <w:tc>
          <w:tcPr>
            <w:tcW w:w="3420" w:type="pct"/>
          </w:tcPr>
          <w:p w14:paraId="5FE19CAB">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（1）供应商具有有效的食品安全管理体系认证；</w:t>
            </w:r>
          </w:p>
          <w:p w14:paraId="6D443744">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（2）供应商具有有效的质量管理体系认证；</w:t>
            </w:r>
          </w:p>
          <w:p w14:paraId="6D09222A">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（3）供应商具有有效的环境管理体系认证；</w:t>
            </w:r>
          </w:p>
          <w:p w14:paraId="127085D8">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每提供1项有效的证书得1分，最高得3分。</w:t>
            </w:r>
          </w:p>
          <w:p w14:paraId="01CB6832">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注：提供有效期内的证书复印件并加盖供应商公章。</w:t>
            </w:r>
          </w:p>
        </w:tc>
      </w:tr>
    </w:tbl>
    <w:p w14:paraId="1A60DB3C">
      <w:pPr>
        <w:wordWrap w:val="0"/>
        <w:spacing w:line="360" w:lineRule="auto"/>
        <w:rPr>
          <w:rFonts w:hint="eastAsia" w:ascii="仿宋" w:hAnsi="仿宋" w:eastAsia="仿宋" w:cs="仿宋"/>
          <w:color w:val="auto"/>
          <w:kern w:val="1"/>
          <w:sz w:val="24"/>
          <w:szCs w:val="24"/>
        </w:rPr>
      </w:pPr>
      <w:r>
        <w:rPr>
          <w:rFonts w:hint="eastAsia" w:ascii="仿宋" w:hAnsi="仿宋" w:eastAsia="仿宋" w:cs="仿宋"/>
          <w:bCs/>
          <w:color w:val="auto"/>
          <w:kern w:val="1"/>
          <w:sz w:val="24"/>
          <w:szCs w:val="24"/>
        </w:rPr>
        <w:t>注：1）</w:t>
      </w:r>
      <w:r>
        <w:rPr>
          <w:rFonts w:hint="eastAsia" w:ascii="仿宋" w:hAnsi="仿宋" w:eastAsia="仿宋" w:cs="仿宋"/>
          <w:color w:val="auto"/>
          <w:kern w:val="1"/>
          <w:sz w:val="24"/>
          <w:szCs w:val="24"/>
        </w:rPr>
        <w:t>评分的取值按四舍五入法，保留小数点后两位。</w:t>
      </w:r>
    </w:p>
    <w:p w14:paraId="10C73F8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 xml:space="preserve">五、终止采购活动 </w:t>
      </w:r>
    </w:p>
    <w:p w14:paraId="46DCD06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出现下列情形之一的，采购人应当终止竞争性磋商采购活动，发布项目终止公告并说明原因，重新开展采购活动：</w:t>
      </w:r>
    </w:p>
    <w:p w14:paraId="20338EE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（1）因情况变化，不再符合规定的竞争性磋商采购方式适用情形的；</w:t>
      </w:r>
    </w:p>
    <w:p w14:paraId="74FF0AF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（2）出现影响采购公正的违法、违规行为的；</w:t>
      </w:r>
    </w:p>
    <w:p w14:paraId="7753882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（3）除《政府采购竞争性磋商采购方式管理暂行办法》第二十一条第三款规定的情形外，在采购过程中符合要求的供应商或者报价未超过采购预算的供应商不足3家的。</w:t>
      </w:r>
    </w:p>
    <w:p w14:paraId="5A9B40D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六、继续采购活动</w:t>
      </w:r>
    </w:p>
    <w:p w14:paraId="11128D7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（1）政府采购竞争性磋商采购方式管理暂行办法（财库[2014]214号）第二十一条第三款规定的情形：符合本办法第三条第四项情形的，提交最终报价的供应商可以为2家。</w:t>
      </w:r>
    </w:p>
    <w:p w14:paraId="0FCA95A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（2）财库[2014]214号第三条规定的情形：</w:t>
      </w:r>
    </w:p>
    <w:p w14:paraId="69DD009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（一）政府购买服务项目；</w:t>
      </w:r>
    </w:p>
    <w:p w14:paraId="5E6B71A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（二）技术复杂或者性质特殊，不能确定详细规格或者具体要求的；</w:t>
      </w:r>
    </w:p>
    <w:p w14:paraId="5AF4B9C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（三）因艺术品采购、专利、专有技术或者服务的时间、数量事先不能确定等原因不能事先计算出价格总额的；</w:t>
      </w:r>
    </w:p>
    <w:p w14:paraId="7987455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（四）市场竞争不充分的科研项目，以及需要扶持的科技成果转化项目；</w:t>
      </w:r>
    </w:p>
    <w:p w14:paraId="557C93E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（五）按照招标投标法及其实施条例必须进行招标的工程建设项目以外的工程建设项目。</w:t>
      </w:r>
    </w:p>
    <w:p w14:paraId="274277F5">
      <w:pPr>
        <w:widowControl/>
        <w:wordWrap w:val="0"/>
        <w:spacing w:line="360" w:lineRule="auto"/>
        <w:ind w:firstLine="480"/>
        <w:jc w:val="left"/>
        <w:rPr>
          <w:rFonts w:hint="eastAsia" w:ascii="仿宋" w:hAnsi="仿宋" w:eastAsia="仿宋" w:cs="仿宋"/>
          <w:color w:val="auto"/>
          <w:kern w:val="1"/>
          <w:sz w:val="24"/>
          <w:szCs w:val="24"/>
        </w:rPr>
        <w:sectPr>
          <w:headerReference r:id="rId15" w:type="default"/>
          <w:pgSz w:w="11906" w:h="16838"/>
          <w:pgMar w:top="1440" w:right="1800" w:bottom="1440" w:left="1800" w:header="851" w:footer="992" w:gutter="0"/>
          <w:cols w:space="720" w:num="1"/>
        </w:sectPr>
      </w:pPr>
      <w:r>
        <w:rPr>
          <w:rFonts w:hint="eastAsia" w:ascii="仿宋" w:hAnsi="仿宋" w:eastAsia="仿宋" w:cs="仿宋"/>
          <w:color w:val="auto"/>
          <w:kern w:val="1"/>
          <w:sz w:val="24"/>
          <w:szCs w:val="24"/>
        </w:rPr>
        <w:t>（3）符合财政部关于政府采购竞争性磋商采购方式管理暂行办法有关问题的补充通知（财库[2015]124 号）规定的情形。</w:t>
      </w:r>
    </w:p>
    <w:p w14:paraId="3C00BB96">
      <w:pPr>
        <w:pStyle w:val="4"/>
        <w:wordWrap w:val="0"/>
        <w:spacing w:before="0" w:after="0" w:line="360" w:lineRule="auto"/>
        <w:rPr>
          <w:rFonts w:hint="eastAsia" w:ascii="仿宋" w:hAnsi="仿宋" w:eastAsia="仿宋" w:cs="仿宋"/>
          <w:color w:val="auto"/>
        </w:rPr>
      </w:pPr>
      <w:bookmarkStart w:id="19" w:name="_Toc12826"/>
      <w:r>
        <w:rPr>
          <w:rFonts w:hint="eastAsia" w:ascii="仿宋" w:hAnsi="仿宋" w:eastAsia="仿宋" w:cs="仿宋"/>
          <w:color w:val="auto"/>
        </w:rPr>
        <w:t>第七章 部分响应文件格式</w:t>
      </w:r>
      <w:bookmarkEnd w:id="19"/>
    </w:p>
    <w:p w14:paraId="03292B3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一、本章所制响应文件格式，除格式中明确将该格式作为实质性要求的，一律不具有强制性。</w:t>
      </w:r>
    </w:p>
    <w:p w14:paraId="5D6B4F3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二、本章所制响应文件格式有关表格中的备注栏，由供应商根据自身响应情况作解释性说明，不作为必填项。</w:t>
      </w:r>
    </w:p>
    <w:p w14:paraId="78C9FAD1">
      <w:pPr>
        <w:widowControl/>
        <w:wordWrap w:val="0"/>
        <w:spacing w:line="360" w:lineRule="auto"/>
        <w:ind w:firstLine="480"/>
        <w:jc w:val="left"/>
        <w:rPr>
          <w:rFonts w:hint="eastAsia" w:ascii="仿宋" w:hAnsi="仿宋" w:eastAsia="仿宋" w:cs="仿宋"/>
          <w:color w:val="auto"/>
          <w:kern w:val="1"/>
          <w:sz w:val="24"/>
          <w:szCs w:val="24"/>
        </w:rPr>
        <w:sectPr>
          <w:headerReference r:id="rId16" w:type="default"/>
          <w:pgSz w:w="11906" w:h="16838"/>
          <w:pgMar w:top="1440" w:right="1800" w:bottom="1440" w:left="1800" w:header="851" w:footer="992" w:gutter="0"/>
          <w:cols w:space="720" w:num="1"/>
        </w:sectPr>
      </w:pPr>
      <w:r>
        <w:rPr>
          <w:rFonts w:hint="eastAsia" w:ascii="仿宋" w:hAnsi="仿宋" w:eastAsia="仿宋" w:cs="仿宋"/>
          <w:color w:val="auto"/>
          <w:kern w:val="1"/>
          <w:sz w:val="24"/>
          <w:szCs w:val="24"/>
        </w:rPr>
        <w:t>三、本章所制响应文件格式中需要填写的相关内容事项，可能会与本采购项目无关，在不改变响应文件原义、不影响本项目采购需求的情况下，供应商可以不予填写，但应当注明。</w:t>
      </w:r>
    </w:p>
    <w:p w14:paraId="77A829F8">
      <w:pPr>
        <w:wordWrap w:val="0"/>
        <w:spacing w:line="36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（资格性响应文件和技术、服务性响应文件两部分，应分册装订密封）</w:t>
      </w:r>
    </w:p>
    <w:p w14:paraId="095F0DA7">
      <w:pPr>
        <w:wordWrap w:val="0"/>
        <w:spacing w:line="360" w:lineRule="auto"/>
        <w:jc w:val="right"/>
        <w:rPr>
          <w:rFonts w:hint="eastAsia" w:ascii="仿宋" w:hAnsi="仿宋" w:eastAsia="仿宋" w:cs="仿宋"/>
          <w:b/>
          <w:color w:val="auto"/>
          <w:sz w:val="72"/>
          <w:szCs w:val="72"/>
        </w:rPr>
      </w:pPr>
      <w:r>
        <w:rPr>
          <w:rFonts w:hint="eastAsia" w:ascii="仿宋" w:hAnsi="仿宋" w:eastAsia="仿宋" w:cs="仿宋"/>
          <w:b/>
          <w:color w:val="auto"/>
          <w:w w:val="110"/>
          <w:sz w:val="36"/>
          <w:szCs w:val="36"/>
        </w:rPr>
        <w:t>（正本/副本）</w:t>
      </w:r>
    </w:p>
    <w:p w14:paraId="1E9B6B34">
      <w:pPr>
        <w:widowControl/>
        <w:wordWrap w:val="0"/>
        <w:spacing w:line="360" w:lineRule="auto"/>
        <w:jc w:val="left"/>
        <w:rPr>
          <w:rFonts w:hint="eastAsia" w:ascii="仿宋" w:hAnsi="仿宋" w:eastAsia="仿宋" w:cs="仿宋"/>
          <w:b/>
          <w:color w:val="auto"/>
          <w:sz w:val="72"/>
          <w:szCs w:val="20"/>
        </w:rPr>
      </w:pPr>
    </w:p>
    <w:p w14:paraId="4B6C71D2">
      <w:pPr>
        <w:keepNext/>
        <w:keepLines/>
        <w:wordWrap w:val="0"/>
        <w:spacing w:line="360" w:lineRule="auto"/>
        <w:jc w:val="center"/>
        <w:outlineLvl w:val="1"/>
        <w:rPr>
          <w:rFonts w:hint="eastAsia" w:ascii="仿宋" w:hAnsi="仿宋" w:eastAsia="仿宋" w:cs="仿宋"/>
          <w:b/>
          <w:color w:val="auto"/>
          <w:kern w:val="1"/>
          <w:sz w:val="52"/>
          <w:szCs w:val="52"/>
        </w:rPr>
      </w:pPr>
      <w:bookmarkStart w:id="20" w:name="_Toc498586715"/>
      <w:bookmarkEnd w:id="20"/>
      <w:bookmarkStart w:id="21" w:name="_Toc13750"/>
      <w:bookmarkEnd w:id="21"/>
      <w:r>
        <w:rPr>
          <w:rFonts w:hint="eastAsia" w:ascii="仿宋" w:hAnsi="仿宋" w:eastAsia="仿宋" w:cs="仿宋"/>
          <w:b/>
          <w:color w:val="auto"/>
          <w:kern w:val="1"/>
          <w:sz w:val="52"/>
          <w:szCs w:val="52"/>
        </w:rPr>
        <w:t>第一部分  资格性响应文件</w:t>
      </w:r>
    </w:p>
    <w:p w14:paraId="1A576D84">
      <w:pPr>
        <w:widowControl/>
        <w:wordWrap w:val="0"/>
        <w:spacing w:line="360" w:lineRule="auto"/>
        <w:rPr>
          <w:rFonts w:hint="eastAsia" w:ascii="仿宋" w:hAnsi="仿宋" w:eastAsia="仿宋" w:cs="仿宋"/>
          <w:b/>
          <w:color w:val="auto"/>
          <w:sz w:val="44"/>
          <w:szCs w:val="20"/>
        </w:rPr>
      </w:pPr>
    </w:p>
    <w:p w14:paraId="27112DD5">
      <w:pPr>
        <w:widowControl/>
        <w:wordWrap w:val="0"/>
        <w:spacing w:line="360" w:lineRule="auto"/>
        <w:jc w:val="center"/>
        <w:rPr>
          <w:rFonts w:hint="eastAsia" w:ascii="仿宋" w:hAnsi="仿宋" w:eastAsia="仿宋" w:cs="仿宋"/>
          <w:b/>
          <w:color w:val="auto"/>
          <w:sz w:val="36"/>
          <w:szCs w:val="20"/>
        </w:rPr>
      </w:pPr>
    </w:p>
    <w:p w14:paraId="591805CA">
      <w:pPr>
        <w:widowControl/>
        <w:wordWrap w:val="0"/>
        <w:spacing w:line="360" w:lineRule="auto"/>
        <w:jc w:val="center"/>
        <w:rPr>
          <w:rFonts w:hint="eastAsia" w:ascii="仿宋" w:hAnsi="仿宋" w:eastAsia="仿宋" w:cs="仿宋"/>
          <w:b/>
          <w:color w:val="auto"/>
          <w:sz w:val="36"/>
          <w:szCs w:val="20"/>
        </w:rPr>
      </w:pPr>
    </w:p>
    <w:p w14:paraId="09A3062E">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4E30C67C">
      <w:pPr>
        <w:widowControl/>
        <w:wordWrap w:val="0"/>
        <w:spacing w:line="360" w:lineRule="auto"/>
        <w:ind w:firstLine="361" w:firstLineChars="100"/>
        <w:jc w:val="left"/>
        <w:rPr>
          <w:rFonts w:hint="eastAsia" w:ascii="仿宋" w:hAnsi="仿宋" w:eastAsia="仿宋" w:cs="仿宋"/>
          <w:b/>
          <w:color w:val="auto"/>
          <w:sz w:val="36"/>
          <w:szCs w:val="20"/>
          <w:u w:val="single"/>
          <w:lang w:eastAsia="zh-CN"/>
        </w:rPr>
      </w:pPr>
      <w:r>
        <w:rPr>
          <w:rFonts w:hint="eastAsia" w:ascii="仿宋" w:hAnsi="仿宋" w:eastAsia="仿宋" w:cs="仿宋"/>
          <w:b/>
          <w:color w:val="auto"/>
          <w:sz w:val="36"/>
          <w:szCs w:val="20"/>
          <w:lang w:eastAsia="zh-CN"/>
        </w:rPr>
        <w:t>项目编号：SCSWZBB-2026-007</w:t>
      </w:r>
    </w:p>
    <w:p w14:paraId="403B7098">
      <w:pPr>
        <w:widowControl/>
        <w:wordWrap w:val="0"/>
        <w:spacing w:line="360" w:lineRule="auto"/>
        <w:jc w:val="left"/>
        <w:rPr>
          <w:rFonts w:hint="eastAsia" w:ascii="仿宋" w:hAnsi="仿宋" w:eastAsia="仿宋" w:cs="仿宋"/>
          <w:b/>
          <w:color w:val="auto"/>
          <w:sz w:val="36"/>
          <w:szCs w:val="20"/>
        </w:rPr>
      </w:pPr>
    </w:p>
    <w:p w14:paraId="435B4020">
      <w:pPr>
        <w:widowControl/>
        <w:wordWrap w:val="0"/>
        <w:spacing w:line="360" w:lineRule="auto"/>
        <w:jc w:val="left"/>
        <w:rPr>
          <w:rFonts w:hint="eastAsia" w:ascii="仿宋" w:hAnsi="仿宋" w:eastAsia="仿宋" w:cs="仿宋"/>
          <w:b/>
          <w:color w:val="auto"/>
          <w:sz w:val="36"/>
          <w:szCs w:val="20"/>
        </w:rPr>
      </w:pPr>
    </w:p>
    <w:p w14:paraId="1EB7DB5A">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0E66C95D">
      <w:pPr>
        <w:widowControl/>
        <w:wordWrap w:val="0"/>
        <w:spacing w:line="360" w:lineRule="auto"/>
        <w:ind w:firstLine="562" w:firstLineChars="200"/>
        <w:jc w:val="left"/>
        <w:rPr>
          <w:rFonts w:hint="eastAsia" w:ascii="仿宋" w:hAnsi="仿宋" w:eastAsia="仿宋" w:cs="仿宋"/>
          <w:b/>
          <w:color w:val="auto"/>
          <w:sz w:val="32"/>
          <w:szCs w:val="32"/>
        </w:rPr>
      </w:pPr>
      <w:r>
        <w:rPr>
          <w:rFonts w:hint="eastAsia" w:ascii="仿宋" w:hAnsi="仿宋" w:eastAsia="仿宋" w:cs="仿宋"/>
          <w:b/>
          <w:color w:val="auto"/>
          <w:sz w:val="28"/>
          <w:szCs w:val="28"/>
        </w:rPr>
        <w:t>日      期 ：  年 月 日</w:t>
      </w:r>
      <w:r>
        <w:rPr>
          <w:rFonts w:hint="eastAsia" w:ascii="仿宋" w:hAnsi="仿宋" w:eastAsia="仿宋" w:cs="仿宋"/>
          <w:b/>
          <w:color w:val="auto"/>
          <w:sz w:val="28"/>
          <w:szCs w:val="28"/>
        </w:rPr>
        <w:br w:type="page"/>
      </w:r>
      <w:r>
        <w:rPr>
          <w:rFonts w:hint="eastAsia" w:ascii="仿宋" w:hAnsi="仿宋" w:eastAsia="仿宋" w:cs="仿宋"/>
          <w:b/>
          <w:color w:val="auto"/>
          <w:sz w:val="32"/>
          <w:szCs w:val="32"/>
        </w:rPr>
        <w:t>格式1-1</w:t>
      </w:r>
    </w:p>
    <w:p w14:paraId="1847BB12">
      <w:pPr>
        <w:wordWrap w:val="0"/>
        <w:spacing w:line="360" w:lineRule="auto"/>
        <w:ind w:left="99"/>
        <w:jc w:val="center"/>
        <w:outlineLvl w:val="1"/>
        <w:rPr>
          <w:rFonts w:hint="eastAsia" w:ascii="仿宋" w:hAnsi="仿宋" w:eastAsia="仿宋" w:cs="仿宋"/>
          <w:b/>
          <w:color w:val="auto"/>
          <w:sz w:val="36"/>
          <w:szCs w:val="36"/>
        </w:rPr>
      </w:pPr>
      <w:bookmarkStart w:id="22" w:name="_Toc5868"/>
      <w:bookmarkEnd w:id="22"/>
      <w:r>
        <w:rPr>
          <w:rFonts w:hint="eastAsia" w:ascii="仿宋" w:hAnsi="仿宋" w:eastAsia="仿宋" w:cs="仿宋"/>
          <w:b/>
          <w:color w:val="auto"/>
          <w:sz w:val="36"/>
          <w:szCs w:val="36"/>
        </w:rPr>
        <w:t>一、法定代表人/单位负责人身份证明书</w:t>
      </w:r>
    </w:p>
    <w:p w14:paraId="12E0638E">
      <w:pPr>
        <w:wordWrap w:val="0"/>
        <w:spacing w:line="360" w:lineRule="auto"/>
        <w:jc w:val="left"/>
        <w:rPr>
          <w:rFonts w:hint="eastAsia" w:ascii="仿宋" w:hAnsi="仿宋" w:eastAsia="仿宋" w:cs="仿宋"/>
          <w:color w:val="auto"/>
          <w:sz w:val="24"/>
          <w:lang w:val="zh-CN"/>
        </w:rPr>
      </w:pPr>
    </w:p>
    <w:p w14:paraId="4557F309">
      <w:pPr>
        <w:wordWrap w:val="0"/>
        <w:spacing w:line="360" w:lineRule="auto"/>
        <w:jc w:val="left"/>
        <w:rPr>
          <w:rFonts w:hint="eastAsia" w:ascii="仿宋" w:hAnsi="仿宋" w:eastAsia="仿宋" w:cs="仿宋"/>
          <w:color w:val="auto"/>
          <w:sz w:val="24"/>
          <w:lang w:val="zh-CN"/>
        </w:rPr>
      </w:pPr>
      <w:r>
        <w:rPr>
          <w:rFonts w:hint="eastAsia" w:ascii="仿宋" w:hAnsi="仿宋" w:eastAsia="仿宋" w:cs="仿宋"/>
          <w:color w:val="auto"/>
          <w:sz w:val="24"/>
          <w:lang w:val="zh-CN"/>
        </w:rPr>
        <w:t>四川商务职业学院：</w:t>
      </w:r>
    </w:p>
    <w:p w14:paraId="5A137FCD">
      <w:pPr>
        <w:tabs>
          <w:tab w:val="left" w:pos="6300"/>
        </w:tabs>
        <w:wordWrap w:val="0"/>
        <w:spacing w:line="360" w:lineRule="auto"/>
        <w:ind w:firstLine="480"/>
        <w:jc w:val="left"/>
        <w:rPr>
          <w:rFonts w:hint="eastAsia" w:ascii="仿宋" w:hAnsi="仿宋" w:eastAsia="仿宋" w:cs="仿宋"/>
          <w:color w:val="auto"/>
          <w:sz w:val="24"/>
          <w:lang w:val="zh-CN"/>
        </w:rPr>
      </w:pPr>
      <w:r>
        <w:rPr>
          <w:rFonts w:hint="eastAsia" w:ascii="仿宋" w:hAnsi="仿宋" w:eastAsia="仿宋" w:cs="仿宋"/>
          <w:color w:val="auto"/>
          <w:sz w:val="24"/>
          <w:u w:val="single"/>
          <w:lang w:val="zh-CN"/>
        </w:rPr>
        <w:t>（法定代表人</w:t>
      </w:r>
      <w:r>
        <w:rPr>
          <w:rFonts w:hint="eastAsia" w:ascii="仿宋" w:hAnsi="仿宋" w:eastAsia="仿宋" w:cs="仿宋"/>
          <w:color w:val="auto"/>
          <w:sz w:val="24"/>
          <w:u w:val="single"/>
        </w:rPr>
        <w:t>/</w:t>
      </w:r>
      <w:r>
        <w:rPr>
          <w:rFonts w:hint="eastAsia" w:ascii="仿宋" w:hAnsi="仿宋" w:eastAsia="仿宋" w:cs="仿宋"/>
          <w:color w:val="auto"/>
          <w:sz w:val="22"/>
          <w:u w:val="single"/>
        </w:rPr>
        <w:t>单位负责人</w:t>
      </w:r>
      <w:r>
        <w:rPr>
          <w:rFonts w:hint="eastAsia" w:ascii="仿宋" w:hAnsi="仿宋" w:eastAsia="仿宋" w:cs="仿宋"/>
          <w:color w:val="auto"/>
          <w:sz w:val="24"/>
          <w:u w:val="single"/>
          <w:lang w:val="zh-CN"/>
        </w:rPr>
        <w:t xml:space="preserve">姓名）         </w:t>
      </w:r>
      <w:r>
        <w:rPr>
          <w:rFonts w:hint="eastAsia" w:ascii="仿宋" w:hAnsi="仿宋" w:eastAsia="仿宋" w:cs="仿宋"/>
          <w:color w:val="auto"/>
          <w:sz w:val="24"/>
          <w:lang w:val="zh-CN"/>
        </w:rPr>
        <w:t>在</w:t>
      </w:r>
      <w:r>
        <w:rPr>
          <w:rFonts w:hint="eastAsia" w:ascii="仿宋" w:hAnsi="仿宋" w:eastAsia="仿宋" w:cs="仿宋"/>
          <w:color w:val="auto"/>
          <w:sz w:val="24"/>
          <w:u w:val="single"/>
          <w:lang w:val="zh-CN"/>
        </w:rPr>
        <w:t xml:space="preserve">（供应商名称） </w:t>
      </w:r>
      <w:r>
        <w:rPr>
          <w:rFonts w:hint="eastAsia" w:ascii="仿宋" w:hAnsi="仿宋" w:eastAsia="仿宋" w:cs="仿宋"/>
          <w:color w:val="auto"/>
          <w:sz w:val="24"/>
          <w:lang w:val="zh-CN"/>
        </w:rPr>
        <w:t>处任</w:t>
      </w:r>
      <w:r>
        <w:rPr>
          <w:rFonts w:hint="eastAsia" w:ascii="仿宋" w:hAnsi="仿宋" w:eastAsia="仿宋" w:cs="仿宋"/>
          <w:color w:val="auto"/>
          <w:sz w:val="24"/>
          <w:u w:val="single"/>
          <w:lang w:val="zh-CN"/>
        </w:rPr>
        <w:t xml:space="preserve">         （职务名称）        </w:t>
      </w:r>
      <w:r>
        <w:rPr>
          <w:rFonts w:hint="eastAsia" w:ascii="仿宋" w:hAnsi="仿宋" w:eastAsia="仿宋" w:cs="仿宋"/>
          <w:color w:val="auto"/>
          <w:sz w:val="24"/>
          <w:lang w:val="zh-CN"/>
        </w:rPr>
        <w:t>职务，是</w:t>
      </w:r>
      <w:r>
        <w:rPr>
          <w:rFonts w:hint="eastAsia" w:ascii="仿宋" w:hAnsi="仿宋" w:eastAsia="仿宋" w:cs="仿宋"/>
          <w:color w:val="auto"/>
          <w:sz w:val="24"/>
          <w:u w:val="single"/>
          <w:lang w:val="zh-CN"/>
        </w:rPr>
        <w:t xml:space="preserve">      （供应商名称）    </w:t>
      </w:r>
      <w:r>
        <w:rPr>
          <w:rFonts w:hint="eastAsia" w:ascii="仿宋" w:hAnsi="仿宋" w:eastAsia="仿宋" w:cs="仿宋"/>
          <w:color w:val="auto"/>
          <w:sz w:val="24"/>
          <w:lang w:val="zh-CN"/>
        </w:rPr>
        <w:t>的法定代表人/单位负责人。</w:t>
      </w:r>
    </w:p>
    <w:p w14:paraId="391ACC04">
      <w:pPr>
        <w:tabs>
          <w:tab w:val="left" w:pos="6300"/>
        </w:tabs>
        <w:wordWrap w:val="0"/>
        <w:spacing w:line="360" w:lineRule="auto"/>
        <w:jc w:val="left"/>
        <w:rPr>
          <w:rFonts w:hint="eastAsia" w:ascii="仿宋" w:hAnsi="仿宋" w:eastAsia="仿宋" w:cs="仿宋"/>
          <w:b/>
          <w:color w:val="auto"/>
          <w:sz w:val="24"/>
          <w:lang w:val="zh-CN"/>
        </w:rPr>
      </w:pPr>
    </w:p>
    <w:p w14:paraId="5411888C">
      <w:pPr>
        <w:tabs>
          <w:tab w:val="left" w:pos="6300"/>
        </w:tabs>
        <w:wordWrap w:val="0"/>
        <w:spacing w:line="360" w:lineRule="auto"/>
        <w:jc w:val="left"/>
        <w:rPr>
          <w:rFonts w:hint="eastAsia" w:ascii="仿宋" w:hAnsi="仿宋" w:eastAsia="仿宋" w:cs="仿宋"/>
          <w:b/>
          <w:color w:val="auto"/>
          <w:sz w:val="24"/>
          <w:lang w:val="zh-CN"/>
        </w:rPr>
      </w:pPr>
    </w:p>
    <w:p w14:paraId="3FB04D8F">
      <w:pPr>
        <w:tabs>
          <w:tab w:val="left" w:pos="6300"/>
        </w:tabs>
        <w:wordWrap w:val="0"/>
        <w:spacing w:line="360" w:lineRule="auto"/>
        <w:ind w:firstLine="573"/>
        <w:jc w:val="left"/>
        <w:rPr>
          <w:rFonts w:hint="eastAsia" w:ascii="仿宋" w:hAnsi="仿宋" w:eastAsia="仿宋" w:cs="仿宋"/>
          <w:b/>
          <w:color w:val="auto"/>
          <w:sz w:val="24"/>
          <w:lang w:val="zh-CN"/>
        </w:rPr>
      </w:pPr>
    </w:p>
    <w:p w14:paraId="699C3399">
      <w:pPr>
        <w:tabs>
          <w:tab w:val="left" w:pos="6300"/>
        </w:tabs>
        <w:wordWrap w:val="0"/>
        <w:spacing w:line="360" w:lineRule="auto"/>
        <w:ind w:firstLine="573"/>
        <w:jc w:val="left"/>
        <w:rPr>
          <w:rFonts w:hint="eastAsia" w:ascii="仿宋" w:hAnsi="仿宋" w:eastAsia="仿宋" w:cs="仿宋"/>
          <w:b/>
          <w:color w:val="auto"/>
          <w:sz w:val="24"/>
          <w:lang w:val="zh-CN"/>
        </w:rPr>
      </w:pPr>
      <w:r>
        <w:rPr>
          <w:rFonts w:hint="eastAsia" w:ascii="仿宋" w:hAnsi="仿宋" w:eastAsia="仿宋" w:cs="仿宋"/>
          <w:b/>
          <w:color w:val="auto"/>
          <w:sz w:val="24"/>
          <w:lang w:val="zh-CN"/>
        </w:rPr>
        <w:t>特此证明。</w:t>
      </w:r>
    </w:p>
    <w:p w14:paraId="28746DD1">
      <w:pPr>
        <w:tabs>
          <w:tab w:val="left" w:pos="6300"/>
        </w:tabs>
        <w:wordWrap w:val="0"/>
        <w:spacing w:line="360" w:lineRule="auto"/>
        <w:jc w:val="left"/>
        <w:rPr>
          <w:rFonts w:hint="eastAsia" w:ascii="仿宋" w:hAnsi="仿宋" w:eastAsia="仿宋" w:cs="仿宋"/>
          <w:b/>
          <w:color w:val="auto"/>
          <w:sz w:val="22"/>
          <w:szCs w:val="21"/>
          <w:lang w:val="zh-CN"/>
        </w:rPr>
      </w:pPr>
    </w:p>
    <w:p w14:paraId="15A5C0B9">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附件：法定代表人/单位负责人有效的身份证复印件（身份证两面均应复印）。供应商的法定代表人为外籍人士的，则需提供护照复印件。</w:t>
      </w:r>
    </w:p>
    <w:p w14:paraId="12DF2BDD">
      <w:pPr>
        <w:wordWrap w:val="0"/>
        <w:spacing w:line="360" w:lineRule="auto"/>
        <w:ind w:firstLine="480"/>
        <w:jc w:val="left"/>
        <w:rPr>
          <w:rFonts w:hint="eastAsia" w:ascii="仿宋" w:hAnsi="仿宋" w:eastAsia="仿宋" w:cs="仿宋"/>
          <w:color w:val="auto"/>
          <w:sz w:val="24"/>
        </w:rPr>
      </w:pPr>
    </w:p>
    <w:p w14:paraId="16A268AC">
      <w:pPr>
        <w:wordWrap w:val="0"/>
        <w:spacing w:line="360" w:lineRule="auto"/>
        <w:jc w:val="left"/>
        <w:rPr>
          <w:rFonts w:hint="eastAsia" w:ascii="仿宋" w:hAnsi="仿宋" w:eastAsia="仿宋" w:cs="仿宋"/>
          <w:color w:val="auto"/>
          <w:sz w:val="24"/>
        </w:rPr>
      </w:pPr>
    </w:p>
    <w:p w14:paraId="6F96487A">
      <w:pPr>
        <w:wordWrap w:val="0"/>
        <w:spacing w:line="360" w:lineRule="auto"/>
        <w:jc w:val="left"/>
        <w:rPr>
          <w:rFonts w:hint="eastAsia" w:ascii="仿宋" w:hAnsi="仿宋" w:eastAsia="仿宋" w:cs="仿宋"/>
          <w:color w:val="auto"/>
          <w:sz w:val="24"/>
        </w:rPr>
      </w:pPr>
    </w:p>
    <w:p w14:paraId="736760C9">
      <w:pPr>
        <w:wordWrap w:val="0"/>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供应商名称：（单位盖章）</w:t>
      </w:r>
    </w:p>
    <w:p w14:paraId="5FF8F195">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color w:val="auto"/>
          <w:sz w:val="24"/>
        </w:rPr>
        <w:br w:type="page"/>
      </w:r>
      <w:r>
        <w:rPr>
          <w:rFonts w:hint="eastAsia" w:ascii="仿宋" w:hAnsi="仿宋" w:eastAsia="仿宋" w:cs="仿宋"/>
          <w:b/>
          <w:color w:val="auto"/>
          <w:sz w:val="32"/>
          <w:szCs w:val="32"/>
        </w:rPr>
        <w:t>格式1-2</w:t>
      </w:r>
    </w:p>
    <w:p w14:paraId="6C58D6FD">
      <w:pPr>
        <w:widowControl/>
        <w:wordWrap w:val="0"/>
        <w:spacing w:line="360" w:lineRule="auto"/>
        <w:jc w:val="center"/>
        <w:outlineLvl w:val="1"/>
        <w:rPr>
          <w:rFonts w:hint="eastAsia" w:ascii="仿宋" w:hAnsi="仿宋" w:eastAsia="仿宋" w:cs="仿宋"/>
          <w:b/>
          <w:color w:val="auto"/>
          <w:sz w:val="32"/>
          <w:szCs w:val="32"/>
        </w:rPr>
      </w:pPr>
      <w:bookmarkStart w:id="23" w:name="_Toc27724"/>
      <w:bookmarkEnd w:id="23"/>
      <w:r>
        <w:rPr>
          <w:rFonts w:hint="eastAsia" w:ascii="仿宋" w:hAnsi="仿宋" w:eastAsia="仿宋" w:cs="仿宋"/>
          <w:b/>
          <w:color w:val="auto"/>
          <w:sz w:val="32"/>
          <w:szCs w:val="32"/>
        </w:rPr>
        <w:t>二、法定代表人/单位负责人授权书</w:t>
      </w:r>
    </w:p>
    <w:p w14:paraId="273C9D66">
      <w:pPr>
        <w:wordWrap w:val="0"/>
        <w:spacing w:line="360" w:lineRule="auto"/>
        <w:jc w:val="left"/>
        <w:rPr>
          <w:rFonts w:hint="eastAsia" w:ascii="仿宋" w:hAnsi="仿宋" w:eastAsia="仿宋" w:cs="仿宋"/>
          <w:color w:val="auto"/>
          <w:sz w:val="22"/>
        </w:rPr>
      </w:pPr>
    </w:p>
    <w:p w14:paraId="5B6F24B3">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51DFCE47">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本授权声明：</w:t>
      </w:r>
      <w:r>
        <w:rPr>
          <w:rFonts w:hint="eastAsia" w:ascii="仿宋" w:hAnsi="仿宋" w:eastAsia="仿宋" w:cs="仿宋"/>
          <w:color w:val="auto"/>
          <w:sz w:val="24"/>
          <w:u w:val="single"/>
        </w:rPr>
        <w:t xml:space="preserve">        （供应商名称）        （法定代表人/单位负责人姓名、职务）</w:t>
      </w:r>
      <w:r>
        <w:rPr>
          <w:rFonts w:hint="eastAsia" w:ascii="仿宋" w:hAnsi="仿宋" w:eastAsia="仿宋" w:cs="仿宋"/>
          <w:color w:val="auto"/>
          <w:sz w:val="24"/>
        </w:rPr>
        <w:t>授权</w:t>
      </w:r>
      <w:r>
        <w:rPr>
          <w:rFonts w:hint="eastAsia" w:ascii="仿宋" w:hAnsi="仿宋" w:eastAsia="仿宋" w:cs="仿宋"/>
          <w:color w:val="auto"/>
          <w:sz w:val="24"/>
          <w:u w:val="single"/>
        </w:rPr>
        <w:t xml:space="preserve">          （被授权人姓名、职务）</w:t>
      </w:r>
      <w:r>
        <w:rPr>
          <w:rFonts w:hint="eastAsia" w:ascii="仿宋" w:hAnsi="仿宋" w:eastAsia="仿宋" w:cs="仿宋"/>
          <w:color w:val="auto"/>
          <w:sz w:val="24"/>
        </w:rPr>
        <w:t>为我方</w:t>
      </w:r>
      <w:r>
        <w:rPr>
          <w:rFonts w:hint="eastAsia" w:ascii="仿宋" w:hAnsi="仿宋" w:eastAsia="仿宋" w:cs="仿宋"/>
          <w:color w:val="auto"/>
          <w:sz w:val="24"/>
          <w:u w:val="single"/>
        </w:rPr>
        <w:t xml:space="preserve"> “         ” 项目</w:t>
      </w:r>
      <w:r>
        <w:rPr>
          <w:rFonts w:hint="eastAsia" w:ascii="仿宋" w:hAnsi="仿宋" w:eastAsia="仿宋" w:cs="仿宋"/>
          <w:color w:val="auto"/>
          <w:sz w:val="24"/>
        </w:rPr>
        <w:t>（</w:t>
      </w:r>
      <w:r>
        <w:rPr>
          <w:rFonts w:hint="eastAsia" w:ascii="仿宋" w:hAnsi="仿宋" w:eastAsia="仿宋" w:cs="仿宋"/>
          <w:color w:val="auto"/>
          <w:sz w:val="24"/>
          <w:u w:val="single"/>
          <w:lang w:eastAsia="zh-CN"/>
        </w:rPr>
        <w:t>项目编号：SCSWZBB-2026-007</w:t>
      </w:r>
      <w:r>
        <w:rPr>
          <w:rFonts w:hint="eastAsia" w:ascii="仿宋" w:hAnsi="仿宋" w:eastAsia="仿宋" w:cs="仿宋"/>
          <w:color w:val="auto"/>
          <w:sz w:val="24"/>
        </w:rPr>
        <w:t>）采购活动的合法代表，以我方名义全权处理该项目有关磋商、签订合同以及执行合同等一切事宜。</w:t>
      </w:r>
    </w:p>
    <w:p w14:paraId="11F95F2D">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特此声明。</w:t>
      </w:r>
    </w:p>
    <w:p w14:paraId="26C4EB9C">
      <w:pPr>
        <w:wordWrap w:val="0"/>
        <w:spacing w:line="360" w:lineRule="auto"/>
        <w:ind w:firstLine="480"/>
        <w:jc w:val="left"/>
        <w:rPr>
          <w:rFonts w:hint="eastAsia" w:ascii="仿宋" w:hAnsi="仿宋" w:eastAsia="仿宋" w:cs="仿宋"/>
          <w:color w:val="auto"/>
          <w:sz w:val="24"/>
        </w:rPr>
      </w:pPr>
    </w:p>
    <w:p w14:paraId="6B8F843B">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附件：授权代表有效的身份证复印件（身份证两面均应复印）。供应商的授权代表为外籍人士的，则需提供护照复印件。</w:t>
      </w:r>
    </w:p>
    <w:p w14:paraId="7BD0ACFD">
      <w:pPr>
        <w:wordWrap w:val="0"/>
        <w:spacing w:line="360" w:lineRule="auto"/>
        <w:ind w:firstLine="480"/>
        <w:jc w:val="left"/>
        <w:rPr>
          <w:rFonts w:hint="eastAsia" w:ascii="仿宋" w:hAnsi="仿宋" w:eastAsia="仿宋" w:cs="仿宋"/>
          <w:color w:val="auto"/>
          <w:sz w:val="24"/>
        </w:rPr>
      </w:pPr>
    </w:p>
    <w:p w14:paraId="0F8952EF">
      <w:pPr>
        <w:wordWrap w:val="0"/>
        <w:spacing w:line="360" w:lineRule="auto"/>
        <w:ind w:firstLine="480"/>
        <w:jc w:val="left"/>
        <w:rPr>
          <w:rFonts w:hint="eastAsia" w:ascii="仿宋" w:hAnsi="仿宋" w:eastAsia="仿宋" w:cs="仿宋"/>
          <w:color w:val="auto"/>
          <w:sz w:val="24"/>
        </w:rPr>
      </w:pPr>
    </w:p>
    <w:p w14:paraId="223F5964">
      <w:pPr>
        <w:wordWrap w:val="0"/>
        <w:spacing w:line="360" w:lineRule="auto"/>
        <w:ind w:firstLine="480"/>
        <w:jc w:val="left"/>
        <w:rPr>
          <w:rFonts w:hint="eastAsia" w:ascii="仿宋" w:hAnsi="仿宋" w:eastAsia="仿宋" w:cs="仿宋"/>
          <w:color w:val="auto"/>
          <w:sz w:val="24"/>
        </w:rPr>
      </w:pPr>
    </w:p>
    <w:p w14:paraId="73551E80">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法定代表人/单位负责人：（签字或者加盖个人名章）                       </w:t>
      </w:r>
    </w:p>
    <w:p w14:paraId="23801827">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授权代表：（签字）</w:t>
      </w:r>
    </w:p>
    <w:p w14:paraId="042B4931">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0BA3990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日期：</w:t>
      </w:r>
    </w:p>
    <w:p w14:paraId="1E331656">
      <w:pPr>
        <w:wordWrap w:val="0"/>
        <w:spacing w:line="360" w:lineRule="auto"/>
        <w:ind w:firstLine="442"/>
        <w:jc w:val="left"/>
        <w:rPr>
          <w:rFonts w:hint="eastAsia" w:ascii="仿宋" w:hAnsi="仿宋" w:eastAsia="仿宋" w:cs="仿宋"/>
          <w:b/>
          <w:color w:val="auto"/>
          <w:sz w:val="22"/>
        </w:rPr>
      </w:pPr>
    </w:p>
    <w:p w14:paraId="28ECA4D4">
      <w:pPr>
        <w:wordWrap w:val="0"/>
        <w:spacing w:line="360" w:lineRule="auto"/>
        <w:ind w:firstLine="442"/>
        <w:jc w:val="left"/>
        <w:rPr>
          <w:rFonts w:hint="eastAsia" w:ascii="仿宋" w:hAnsi="仿宋" w:eastAsia="仿宋" w:cs="仿宋"/>
          <w:b/>
          <w:color w:val="auto"/>
          <w:sz w:val="22"/>
        </w:rPr>
      </w:pPr>
    </w:p>
    <w:p w14:paraId="197C2CB7">
      <w:pPr>
        <w:wordWrap w:val="0"/>
        <w:spacing w:line="360" w:lineRule="auto"/>
        <w:jc w:val="left"/>
        <w:rPr>
          <w:rFonts w:hint="eastAsia" w:ascii="仿宋" w:hAnsi="仿宋" w:eastAsia="仿宋" w:cs="仿宋"/>
          <w:b/>
          <w:color w:val="auto"/>
          <w:sz w:val="22"/>
        </w:rPr>
      </w:pPr>
    </w:p>
    <w:p w14:paraId="4BCC17D6">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注：</w:t>
      </w:r>
    </w:p>
    <w:p w14:paraId="6FBB3EC9">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1、供应商为法人单位时提供“法定代表人授权书”，供应商为其他组织时提供“单位负责人授权书”，供应商为自然人时提供“自然人身份证明材料”。</w:t>
      </w:r>
    </w:p>
    <w:p w14:paraId="7D64A13F">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2、身份证明材料包括居民身份证和其他法定有效证明。</w:t>
      </w:r>
    </w:p>
    <w:p w14:paraId="188AF463">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3、身份证明材料应同时提供其在有效期的材料，如居民身份证正、反面复印件。</w:t>
      </w:r>
    </w:p>
    <w:p w14:paraId="25CE2F3E">
      <w:pPr>
        <w:wordWrap w:val="0"/>
        <w:spacing w:line="360" w:lineRule="auto"/>
        <w:ind w:firstLine="442"/>
        <w:jc w:val="left"/>
        <w:rPr>
          <w:rFonts w:hint="eastAsia" w:ascii="仿宋" w:hAnsi="仿宋" w:eastAsia="仿宋" w:cs="仿宋"/>
          <w:b/>
          <w:color w:val="auto"/>
          <w:sz w:val="32"/>
          <w:szCs w:val="32"/>
        </w:rPr>
        <w:sectPr>
          <w:headerReference r:id="rId17" w:type="default"/>
          <w:pgSz w:w="11911" w:h="16838"/>
          <w:pgMar w:top="1440" w:right="1797" w:bottom="1440" w:left="1797" w:header="851" w:footer="992" w:gutter="0"/>
          <w:cols w:space="720" w:num="1"/>
        </w:sectPr>
      </w:pPr>
      <w:r>
        <w:rPr>
          <w:rFonts w:hint="eastAsia" w:ascii="仿宋" w:hAnsi="仿宋" w:eastAsia="仿宋" w:cs="仿宋"/>
          <w:b/>
          <w:color w:val="auto"/>
          <w:sz w:val="22"/>
        </w:rPr>
        <w:t>4、响应文件均由供应商法定代表人/单位负责人签字的，响应文件中可不提供该附件的内容。</w:t>
      </w:r>
    </w:p>
    <w:p w14:paraId="71F7169E">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格式1-3</w:t>
      </w:r>
    </w:p>
    <w:p w14:paraId="2F2B94F9">
      <w:pPr>
        <w:widowControl/>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三、承诺函</w:t>
      </w:r>
    </w:p>
    <w:p w14:paraId="35FEEBC0">
      <w:pPr>
        <w:wordWrap w:val="0"/>
        <w:spacing w:line="360" w:lineRule="auto"/>
        <w:jc w:val="left"/>
        <w:rPr>
          <w:rFonts w:hint="eastAsia" w:ascii="仿宋" w:hAnsi="仿宋" w:eastAsia="仿宋" w:cs="仿宋"/>
          <w:color w:val="auto"/>
          <w:sz w:val="24"/>
        </w:rPr>
      </w:pPr>
    </w:p>
    <w:p w14:paraId="0FA6EFAE">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1245B244">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16D49C3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7578D432">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37717E8C">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1810886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4D4E364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4C843D18">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0828A7A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7.我单位及我单位法定代表人、主要负责人近三年内不具有行贿犯罪记录。</w:t>
      </w:r>
    </w:p>
    <w:p w14:paraId="1AB359CD">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本公司对上述承诺的内容事项真实性负责。如经查实上述承诺的内容事项存在虚假，我公司愿意接受以提供虚假材料谋取成交追究法律责任。</w:t>
      </w:r>
    </w:p>
    <w:p w14:paraId="6D88DB8C">
      <w:pPr>
        <w:wordWrap w:val="0"/>
        <w:spacing w:line="360" w:lineRule="auto"/>
        <w:ind w:firstLine="560"/>
        <w:jc w:val="left"/>
        <w:rPr>
          <w:rFonts w:hint="eastAsia" w:ascii="仿宋" w:hAnsi="仿宋" w:eastAsia="仿宋" w:cs="仿宋"/>
          <w:color w:val="auto"/>
          <w:sz w:val="28"/>
          <w:szCs w:val="28"/>
        </w:rPr>
      </w:pPr>
    </w:p>
    <w:p w14:paraId="365B6E0A">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6C9949E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FB5F033">
      <w:pPr>
        <w:wordWrap w:val="0"/>
        <w:spacing w:line="360" w:lineRule="auto"/>
        <w:jc w:val="left"/>
        <w:rPr>
          <w:rFonts w:hint="eastAsia" w:ascii="仿宋" w:hAnsi="仿宋" w:eastAsia="仿宋" w:cs="仿宋"/>
          <w:b/>
          <w:color w:val="auto"/>
          <w:sz w:val="22"/>
          <w:szCs w:val="21"/>
        </w:rPr>
        <w:sectPr>
          <w:headerReference r:id="rId18" w:type="default"/>
          <w:pgSz w:w="11911" w:h="16838"/>
          <w:pgMar w:top="1440" w:right="1797" w:bottom="1440" w:left="1797" w:header="851" w:footer="992" w:gutter="0"/>
          <w:cols w:space="720" w:num="1"/>
        </w:sectPr>
      </w:pPr>
      <w:r>
        <w:rPr>
          <w:rFonts w:hint="eastAsia" w:ascii="仿宋" w:hAnsi="仿宋" w:eastAsia="仿宋" w:cs="仿宋"/>
          <w:color w:val="auto"/>
          <w:sz w:val="24"/>
        </w:rPr>
        <w:t xml:space="preserve">日期：  </w:t>
      </w:r>
    </w:p>
    <w:p w14:paraId="11CCABF9">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格式1-4</w:t>
      </w:r>
    </w:p>
    <w:p w14:paraId="73EE21F5">
      <w:p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四、供应商其他资格相关证明材料</w:t>
      </w:r>
    </w:p>
    <w:p w14:paraId="11999E2E">
      <w:pPr>
        <w:wordWrap w:val="0"/>
        <w:spacing w:line="360" w:lineRule="auto"/>
        <w:jc w:val="center"/>
        <w:rPr>
          <w:rFonts w:hint="eastAsia" w:ascii="仿宋" w:hAnsi="仿宋" w:eastAsia="仿宋" w:cs="仿宋"/>
          <w:b/>
          <w:color w:val="auto"/>
          <w:sz w:val="32"/>
          <w:szCs w:val="32"/>
        </w:rPr>
      </w:pPr>
    </w:p>
    <w:p w14:paraId="4D560D06">
      <w:pPr>
        <w:wordWrap w:val="0"/>
        <w:spacing w:line="360" w:lineRule="auto"/>
        <w:ind w:left="422" w:hanging="422"/>
        <w:jc w:val="left"/>
        <w:rPr>
          <w:rFonts w:hint="eastAsia" w:ascii="仿宋" w:hAnsi="仿宋" w:eastAsia="仿宋" w:cs="仿宋"/>
          <w:b/>
          <w:color w:val="auto"/>
          <w:sz w:val="28"/>
          <w:szCs w:val="28"/>
        </w:rPr>
        <w:sectPr>
          <w:pgSz w:w="11911" w:h="16838"/>
          <w:pgMar w:top="1440" w:right="1797" w:bottom="1440" w:left="1797" w:header="851" w:footer="992" w:gutter="0"/>
          <w:cols w:space="720" w:num="1"/>
        </w:sectPr>
      </w:pPr>
      <w:r>
        <w:rPr>
          <w:rFonts w:hint="eastAsia" w:ascii="仿宋" w:hAnsi="仿宋" w:eastAsia="仿宋" w:cs="仿宋"/>
          <w:b/>
          <w:color w:val="auto"/>
          <w:szCs w:val="21"/>
        </w:rPr>
        <w:t>注：供应商应按照采购文件第五章相关要求提供佐证材料，有格式要求的从其要求，无格式要求的格式自拟。</w:t>
      </w:r>
    </w:p>
    <w:p w14:paraId="793E6F80">
      <w:pPr>
        <w:wordWrap w:val="0"/>
        <w:spacing w:line="360" w:lineRule="auto"/>
        <w:rPr>
          <w:rFonts w:hint="eastAsia" w:ascii="仿宋" w:hAnsi="仿宋" w:eastAsia="仿宋" w:cs="仿宋"/>
          <w:b/>
          <w:color w:val="auto"/>
          <w:sz w:val="28"/>
          <w:szCs w:val="28"/>
        </w:rPr>
      </w:pPr>
    </w:p>
    <w:p w14:paraId="6B4876E9">
      <w:pPr>
        <w:wordWrap w:val="0"/>
        <w:spacing w:line="360" w:lineRule="auto"/>
        <w:rPr>
          <w:rFonts w:hint="eastAsia" w:ascii="仿宋" w:hAnsi="仿宋" w:eastAsia="仿宋" w:cs="仿宋"/>
          <w:b/>
          <w:color w:val="auto"/>
          <w:sz w:val="28"/>
          <w:szCs w:val="28"/>
        </w:rPr>
        <w:sectPr>
          <w:headerReference r:id="rId19" w:type="default"/>
          <w:footerReference r:id="rId20" w:type="default"/>
          <w:type w:val="continuous"/>
          <w:pgSz w:w="11911" w:h="16838"/>
          <w:pgMar w:top="1440" w:right="1797" w:bottom="1440" w:left="1797" w:header="851" w:footer="992" w:gutter="0"/>
          <w:cols w:space="720" w:num="1"/>
        </w:sectPr>
      </w:pPr>
    </w:p>
    <w:p w14:paraId="5606BAC2">
      <w:pPr>
        <w:wordWrap w:val="0"/>
        <w:spacing w:line="360" w:lineRule="auto"/>
        <w:jc w:val="left"/>
        <w:rPr>
          <w:rFonts w:hint="eastAsia" w:ascii="仿宋" w:hAnsi="仿宋" w:eastAsia="仿宋" w:cs="仿宋"/>
          <w:b/>
          <w:color w:val="auto"/>
          <w:sz w:val="23"/>
          <w:szCs w:val="23"/>
        </w:rPr>
      </w:pPr>
    </w:p>
    <w:p w14:paraId="5B3796E4">
      <w:pPr>
        <w:wordWrap w:val="0"/>
        <w:spacing w:line="360" w:lineRule="auto"/>
        <w:jc w:val="left"/>
        <w:rPr>
          <w:rFonts w:hint="eastAsia" w:ascii="仿宋" w:hAnsi="仿宋" w:eastAsia="仿宋" w:cs="仿宋"/>
          <w:b/>
          <w:color w:val="auto"/>
          <w:sz w:val="23"/>
          <w:szCs w:val="23"/>
        </w:rPr>
        <w:sectPr>
          <w:type w:val="continuous"/>
          <w:pgSz w:w="11911" w:h="16838"/>
          <w:pgMar w:top="1440" w:right="1797" w:bottom="1440" w:left="1797" w:header="851" w:footer="992" w:gutter="0"/>
          <w:cols w:space="720" w:num="1"/>
        </w:sectPr>
      </w:pPr>
    </w:p>
    <w:p w14:paraId="7EA490AD">
      <w:pPr>
        <w:wordWrap w:val="0"/>
        <w:spacing w:line="360" w:lineRule="auto"/>
        <w:jc w:val="center"/>
        <w:rPr>
          <w:rFonts w:hint="eastAsia" w:ascii="仿宋" w:hAnsi="仿宋" w:eastAsia="仿宋" w:cs="仿宋"/>
          <w:b/>
          <w:color w:val="auto"/>
          <w:sz w:val="34"/>
          <w:szCs w:val="34"/>
        </w:rPr>
      </w:pPr>
    </w:p>
    <w:p w14:paraId="0A4F339D">
      <w:pPr>
        <w:wordWrap w:val="0"/>
        <w:spacing w:line="360" w:lineRule="auto"/>
        <w:jc w:val="center"/>
        <w:rPr>
          <w:rFonts w:hint="eastAsia" w:ascii="仿宋" w:hAnsi="仿宋" w:eastAsia="仿宋" w:cs="仿宋"/>
          <w:b/>
          <w:color w:val="auto"/>
          <w:sz w:val="34"/>
          <w:szCs w:val="34"/>
        </w:rPr>
        <w:sectPr>
          <w:headerReference r:id="rId21" w:type="default"/>
          <w:footerReference r:id="rId22" w:type="default"/>
          <w:pgSz w:w="11911" w:h="16838"/>
          <w:pgMar w:top="1440" w:right="1797" w:bottom="1440" w:left="1797" w:header="851" w:footer="992" w:gutter="0"/>
          <w:cols w:space="720" w:num="1"/>
        </w:sectPr>
      </w:pPr>
    </w:p>
    <w:p w14:paraId="1B7BBDC4">
      <w:pPr>
        <w:wordWrap w:val="0"/>
        <w:spacing w:line="360" w:lineRule="auto"/>
        <w:jc w:val="center"/>
        <w:rPr>
          <w:rFonts w:hint="eastAsia" w:ascii="仿宋" w:hAnsi="仿宋" w:eastAsia="仿宋" w:cs="仿宋"/>
          <w:b/>
          <w:color w:val="auto"/>
          <w:w w:val="180"/>
          <w:sz w:val="34"/>
          <w:szCs w:val="34"/>
        </w:rPr>
      </w:pPr>
      <w:r>
        <w:rPr>
          <w:rFonts w:hint="eastAsia" w:ascii="仿宋" w:hAnsi="仿宋" w:eastAsia="仿宋" w:cs="仿宋"/>
          <w:b/>
          <w:color w:val="auto"/>
          <w:sz w:val="34"/>
          <w:szCs w:val="34"/>
        </w:rPr>
        <w:t>（响应文件分资格性响应文件和技术、服务性响应文件两部分，应分册装订密封）</w:t>
      </w:r>
    </w:p>
    <w:p w14:paraId="752BD6BA">
      <w:pPr>
        <w:wordWrap w:val="0"/>
        <w:spacing w:line="360" w:lineRule="auto"/>
        <w:jc w:val="right"/>
        <w:rPr>
          <w:rFonts w:hint="eastAsia" w:ascii="仿宋" w:hAnsi="仿宋" w:eastAsia="仿宋" w:cs="仿宋"/>
          <w:b/>
          <w:color w:val="auto"/>
          <w:w w:val="110"/>
          <w:sz w:val="36"/>
          <w:szCs w:val="36"/>
        </w:rPr>
      </w:pPr>
      <w:r>
        <w:rPr>
          <w:rFonts w:hint="eastAsia" w:ascii="仿宋" w:hAnsi="仿宋" w:eastAsia="仿宋" w:cs="仿宋"/>
          <w:b/>
          <w:color w:val="auto"/>
          <w:w w:val="110"/>
          <w:sz w:val="36"/>
          <w:szCs w:val="36"/>
        </w:rPr>
        <w:t>（正本/副本）</w:t>
      </w:r>
    </w:p>
    <w:p w14:paraId="2DD98533">
      <w:pPr>
        <w:wordWrap w:val="0"/>
        <w:spacing w:line="360" w:lineRule="auto"/>
        <w:jc w:val="right"/>
        <w:rPr>
          <w:rFonts w:hint="eastAsia" w:ascii="仿宋" w:hAnsi="仿宋" w:eastAsia="仿宋" w:cs="仿宋"/>
          <w:b/>
          <w:color w:val="auto"/>
          <w:w w:val="110"/>
          <w:sz w:val="36"/>
          <w:szCs w:val="36"/>
        </w:rPr>
      </w:pPr>
    </w:p>
    <w:p w14:paraId="0CD7B119">
      <w:pPr>
        <w:keepNext/>
        <w:keepLines/>
        <w:wordWrap w:val="0"/>
        <w:spacing w:line="360" w:lineRule="auto"/>
        <w:jc w:val="center"/>
        <w:outlineLvl w:val="1"/>
        <w:rPr>
          <w:rFonts w:hint="eastAsia" w:ascii="仿宋" w:hAnsi="仿宋" w:eastAsia="仿宋" w:cs="仿宋"/>
          <w:b/>
          <w:color w:val="auto"/>
          <w:sz w:val="36"/>
          <w:szCs w:val="20"/>
        </w:rPr>
      </w:pPr>
      <w:bookmarkStart w:id="24" w:name="_Toc14375"/>
      <w:bookmarkEnd w:id="24"/>
      <w:r>
        <w:rPr>
          <w:rFonts w:hint="eastAsia" w:ascii="仿宋" w:hAnsi="仿宋" w:eastAsia="仿宋" w:cs="仿宋"/>
          <w:b/>
          <w:color w:val="auto"/>
          <w:kern w:val="1"/>
          <w:sz w:val="52"/>
          <w:szCs w:val="52"/>
        </w:rPr>
        <w:t>第二部分  技术、服务性响应文件</w:t>
      </w:r>
    </w:p>
    <w:p w14:paraId="49B1CF11">
      <w:pPr>
        <w:widowControl/>
        <w:wordWrap w:val="0"/>
        <w:spacing w:line="360" w:lineRule="auto"/>
        <w:jc w:val="center"/>
        <w:rPr>
          <w:rFonts w:hint="eastAsia" w:ascii="仿宋" w:hAnsi="仿宋" w:eastAsia="仿宋" w:cs="仿宋"/>
          <w:b/>
          <w:color w:val="auto"/>
          <w:sz w:val="36"/>
          <w:szCs w:val="20"/>
        </w:rPr>
      </w:pPr>
    </w:p>
    <w:p w14:paraId="4561A7DA">
      <w:pPr>
        <w:widowControl/>
        <w:wordWrap w:val="0"/>
        <w:spacing w:line="360" w:lineRule="auto"/>
        <w:jc w:val="center"/>
        <w:rPr>
          <w:rFonts w:hint="eastAsia" w:ascii="仿宋" w:hAnsi="仿宋" w:eastAsia="仿宋" w:cs="仿宋"/>
          <w:b/>
          <w:color w:val="auto"/>
          <w:sz w:val="36"/>
          <w:szCs w:val="20"/>
        </w:rPr>
      </w:pPr>
    </w:p>
    <w:p w14:paraId="4E712685">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65DF8B5D">
      <w:pPr>
        <w:widowControl/>
        <w:wordWrap w:val="0"/>
        <w:spacing w:line="360" w:lineRule="auto"/>
        <w:ind w:firstLine="361" w:firstLineChars="100"/>
        <w:jc w:val="left"/>
        <w:rPr>
          <w:rFonts w:hint="eastAsia" w:ascii="仿宋" w:hAnsi="仿宋" w:eastAsia="仿宋" w:cs="仿宋"/>
          <w:b/>
          <w:color w:val="auto"/>
          <w:sz w:val="36"/>
          <w:szCs w:val="20"/>
          <w:u w:val="single"/>
          <w:lang w:eastAsia="zh-CN"/>
        </w:rPr>
      </w:pPr>
      <w:r>
        <w:rPr>
          <w:rFonts w:hint="eastAsia" w:ascii="仿宋" w:hAnsi="仿宋" w:eastAsia="仿宋" w:cs="仿宋"/>
          <w:b/>
          <w:color w:val="auto"/>
          <w:sz w:val="36"/>
          <w:szCs w:val="20"/>
          <w:lang w:eastAsia="zh-CN"/>
        </w:rPr>
        <w:t>项目编号：SCSWZBB-2026-007</w:t>
      </w:r>
    </w:p>
    <w:p w14:paraId="4BF260D3">
      <w:pPr>
        <w:widowControl/>
        <w:wordWrap w:val="0"/>
        <w:spacing w:line="360" w:lineRule="auto"/>
        <w:jc w:val="center"/>
        <w:rPr>
          <w:rFonts w:hint="eastAsia" w:ascii="仿宋" w:hAnsi="仿宋" w:eastAsia="仿宋" w:cs="仿宋"/>
          <w:b/>
          <w:color w:val="auto"/>
          <w:sz w:val="36"/>
          <w:szCs w:val="20"/>
        </w:rPr>
      </w:pPr>
    </w:p>
    <w:p w14:paraId="2C796A07">
      <w:pPr>
        <w:widowControl/>
        <w:wordWrap w:val="0"/>
        <w:spacing w:line="360" w:lineRule="auto"/>
        <w:jc w:val="left"/>
        <w:rPr>
          <w:rFonts w:hint="eastAsia" w:ascii="仿宋" w:hAnsi="仿宋" w:eastAsia="仿宋" w:cs="仿宋"/>
          <w:b/>
          <w:color w:val="auto"/>
          <w:sz w:val="36"/>
          <w:szCs w:val="20"/>
        </w:rPr>
      </w:pPr>
    </w:p>
    <w:p w14:paraId="48E54D2F">
      <w:pPr>
        <w:widowControl/>
        <w:wordWrap w:val="0"/>
        <w:spacing w:line="360" w:lineRule="auto"/>
        <w:jc w:val="left"/>
        <w:rPr>
          <w:rFonts w:hint="eastAsia" w:ascii="仿宋" w:hAnsi="仿宋" w:eastAsia="仿宋" w:cs="仿宋"/>
          <w:b/>
          <w:color w:val="auto"/>
          <w:sz w:val="36"/>
          <w:szCs w:val="20"/>
        </w:rPr>
      </w:pPr>
    </w:p>
    <w:p w14:paraId="1FCED839">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5D49B582">
      <w:pPr>
        <w:widowControl/>
        <w:wordWrap w:val="0"/>
        <w:spacing w:line="360" w:lineRule="auto"/>
        <w:ind w:firstLine="562"/>
        <w:jc w:val="left"/>
        <w:rPr>
          <w:rFonts w:hint="eastAsia" w:ascii="仿宋" w:hAnsi="仿宋" w:eastAsia="仿宋" w:cs="仿宋"/>
          <w:b/>
          <w:color w:val="auto"/>
          <w:sz w:val="28"/>
          <w:szCs w:val="28"/>
        </w:rPr>
        <w:sectPr>
          <w:headerReference r:id="rId23" w:type="default"/>
          <w:footerReference r:id="rId24" w:type="default"/>
          <w:type w:val="continuous"/>
          <w:pgSz w:w="11911" w:h="16838"/>
          <w:pgMar w:top="1440" w:right="1797" w:bottom="1440" w:left="1797" w:header="851" w:footer="992" w:gutter="0"/>
          <w:cols w:space="720" w:num="1"/>
        </w:sectPr>
      </w:pPr>
      <w:r>
        <w:rPr>
          <w:rFonts w:hint="eastAsia" w:ascii="仿宋" w:hAnsi="仿宋" w:eastAsia="仿宋" w:cs="仿宋"/>
          <w:b/>
          <w:color w:val="auto"/>
          <w:sz w:val="28"/>
          <w:szCs w:val="28"/>
        </w:rPr>
        <w:t>日      期 ：  年 月 日</w:t>
      </w:r>
    </w:p>
    <w:p w14:paraId="6FC51BE8">
      <w:pPr>
        <w:wordWrap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32"/>
          <w:szCs w:val="32"/>
        </w:rPr>
        <w:t>格式2-1</w:t>
      </w:r>
    </w:p>
    <w:p w14:paraId="77CC91C2">
      <w:pPr>
        <w:widowControl/>
        <w:numPr>
          <w:ilvl w:val="0"/>
          <w:numId w:val="3"/>
        </w:numPr>
        <w:wordWrap w:val="0"/>
        <w:spacing w:line="360" w:lineRule="auto"/>
        <w:jc w:val="center"/>
        <w:outlineLvl w:val="1"/>
        <w:rPr>
          <w:rFonts w:hint="eastAsia" w:ascii="仿宋" w:hAnsi="仿宋" w:eastAsia="仿宋" w:cs="仿宋"/>
          <w:b/>
          <w:color w:val="auto"/>
          <w:sz w:val="32"/>
          <w:szCs w:val="32"/>
          <w:lang w:eastAsia="en-US"/>
        </w:rPr>
      </w:pPr>
      <w:bookmarkStart w:id="25" w:name="_Toc15129"/>
      <w:bookmarkEnd w:id="25"/>
      <w:r>
        <w:rPr>
          <w:rFonts w:hint="eastAsia" w:ascii="仿宋" w:hAnsi="仿宋" w:eastAsia="仿宋" w:cs="仿宋"/>
          <w:b/>
          <w:color w:val="auto"/>
          <w:sz w:val="32"/>
          <w:szCs w:val="32"/>
        </w:rPr>
        <w:t>响应</w:t>
      </w:r>
      <w:r>
        <w:rPr>
          <w:rFonts w:hint="eastAsia" w:ascii="仿宋" w:hAnsi="仿宋" w:eastAsia="仿宋" w:cs="仿宋"/>
          <w:b/>
          <w:color w:val="auto"/>
          <w:sz w:val="32"/>
          <w:szCs w:val="32"/>
          <w:lang w:eastAsia="en-US"/>
        </w:rPr>
        <w:t>函</w:t>
      </w:r>
    </w:p>
    <w:p w14:paraId="7E00B0B1">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7B8761D2">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我方全面研究了 “</w:t>
      </w:r>
      <w:r>
        <w:rPr>
          <w:rFonts w:hint="eastAsia" w:ascii="仿宋" w:hAnsi="仿宋" w:eastAsia="仿宋" w:cs="仿宋"/>
          <w:color w:val="auto"/>
          <w:sz w:val="24"/>
          <w:u w:val="single"/>
        </w:rPr>
        <w:t>　      　</w:t>
      </w:r>
      <w:r>
        <w:rPr>
          <w:rFonts w:hint="eastAsia" w:ascii="仿宋" w:hAnsi="仿宋" w:eastAsia="仿宋" w:cs="仿宋"/>
          <w:color w:val="auto"/>
          <w:sz w:val="24"/>
        </w:rPr>
        <w:t>”项目磋商文件（</w:t>
      </w:r>
      <w:r>
        <w:rPr>
          <w:rFonts w:hint="eastAsia" w:ascii="仿宋" w:hAnsi="仿宋" w:eastAsia="仿宋" w:cs="仿宋"/>
          <w:color w:val="auto"/>
          <w:sz w:val="24"/>
          <w:lang w:eastAsia="zh-CN"/>
        </w:rPr>
        <w:t>项目编号：SCSWZBB-2026-007</w:t>
      </w:r>
      <w:r>
        <w:rPr>
          <w:rFonts w:hint="eastAsia" w:ascii="仿宋" w:hAnsi="仿宋" w:eastAsia="仿宋" w:cs="仿宋"/>
          <w:color w:val="auto"/>
          <w:sz w:val="24"/>
        </w:rPr>
        <w:t>），决定参加贵单位组织的本项目磋商。我方授权</w:t>
      </w:r>
      <w:r>
        <w:rPr>
          <w:rFonts w:hint="eastAsia" w:ascii="仿宋" w:hAnsi="仿宋" w:eastAsia="仿宋" w:cs="仿宋"/>
          <w:color w:val="auto"/>
          <w:sz w:val="24"/>
          <w:u w:val="single"/>
        </w:rPr>
        <w:t xml:space="preserve">           （姓名、职务）</w:t>
      </w:r>
      <w:r>
        <w:rPr>
          <w:rFonts w:hint="eastAsia" w:ascii="仿宋" w:hAnsi="仿宋" w:eastAsia="仿宋" w:cs="仿宋"/>
          <w:color w:val="auto"/>
          <w:sz w:val="24"/>
        </w:rPr>
        <w:t>代表我方</w:t>
      </w:r>
      <w:r>
        <w:rPr>
          <w:rFonts w:hint="eastAsia" w:ascii="仿宋" w:hAnsi="仿宋" w:eastAsia="仿宋" w:cs="仿宋"/>
          <w:color w:val="auto"/>
          <w:sz w:val="24"/>
          <w:u w:val="single"/>
        </w:rPr>
        <w:t xml:space="preserve">       （供应商名称）</w:t>
      </w:r>
      <w:r>
        <w:rPr>
          <w:rFonts w:hint="eastAsia" w:ascii="仿宋" w:hAnsi="仿宋" w:eastAsia="仿宋" w:cs="仿宋"/>
          <w:color w:val="auto"/>
          <w:sz w:val="24"/>
        </w:rPr>
        <w:t>全权处理本项目的有关事宜。</w:t>
      </w:r>
    </w:p>
    <w:p w14:paraId="13C0A84F">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1"/>
          <w:sz w:val="24"/>
        </w:rPr>
        <w:t>我方自愿按照竞争性磋商文件规定的各项要求向采购人提供所需货物/服务/工程。</w:t>
      </w:r>
    </w:p>
    <w:p w14:paraId="61058B48">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2、一旦我方成交，我方将严格履行采购合同规定的责任和义务，否则将承担由此产生的一切责任。</w:t>
      </w:r>
    </w:p>
    <w:p w14:paraId="2CBD25EB">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3、我方为本项目提交的响应文件正本1份，副本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w:t>
      </w:r>
    </w:p>
    <w:p w14:paraId="6F647D43">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4、我方同意本次磋商的磋商有效期为</w:t>
      </w:r>
      <w:r>
        <w:rPr>
          <w:rFonts w:hint="eastAsia" w:ascii="仿宋" w:hAnsi="仿宋" w:eastAsia="仿宋" w:cs="仿宋"/>
          <w:color w:val="auto"/>
          <w:kern w:val="1"/>
          <w:sz w:val="24"/>
          <w:szCs w:val="24"/>
        </w:rPr>
        <w:t>递交磋商响应文件截止之日起</w:t>
      </w:r>
      <w:r>
        <w:rPr>
          <w:rFonts w:hint="eastAsia"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天</w:t>
      </w:r>
      <w:r>
        <w:rPr>
          <w:rFonts w:hint="eastAsia" w:ascii="仿宋" w:hAnsi="仿宋" w:eastAsia="仿宋" w:cs="仿宋"/>
          <w:color w:val="auto"/>
          <w:sz w:val="24"/>
        </w:rPr>
        <w:t>。</w:t>
      </w:r>
    </w:p>
    <w:p w14:paraId="7D266BD2">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5、我方愿意提供贵单位可能另外要求的与磋商有关的文件资料，并保证我方已提供和将要提供的文件资料是真实、准确的。</w:t>
      </w:r>
    </w:p>
    <w:p w14:paraId="46035A7D">
      <w:pPr>
        <w:wordWrap w:val="0"/>
        <w:spacing w:line="360" w:lineRule="auto"/>
        <w:ind w:left="420" w:firstLine="240" w:firstLineChars="100"/>
        <w:jc w:val="left"/>
        <w:rPr>
          <w:rFonts w:hint="eastAsia" w:ascii="仿宋" w:hAnsi="仿宋" w:eastAsia="仿宋" w:cs="仿宋"/>
          <w:color w:val="auto"/>
          <w:sz w:val="24"/>
        </w:rPr>
      </w:pPr>
      <w:r>
        <w:rPr>
          <w:rFonts w:hint="eastAsia" w:ascii="仿宋" w:hAnsi="仿宋" w:eastAsia="仿宋" w:cs="仿宋"/>
          <w:color w:val="auto"/>
          <w:sz w:val="24"/>
        </w:rPr>
        <w:t>6、我单位联系方式：</w:t>
      </w:r>
    </w:p>
    <w:p w14:paraId="09B3495A">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地址： </w:t>
      </w:r>
    </w:p>
    <w:p w14:paraId="3E11B04D">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联系人：</w:t>
      </w:r>
    </w:p>
    <w:p w14:paraId="47A55310">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联系电话：</w:t>
      </w:r>
    </w:p>
    <w:p w14:paraId="2C706587">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传真： </w:t>
      </w:r>
    </w:p>
    <w:p w14:paraId="6EF3C847">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邮政编码：</w:t>
      </w:r>
    </w:p>
    <w:p w14:paraId="19573CA3">
      <w:pPr>
        <w:wordWrap w:val="0"/>
        <w:spacing w:line="360" w:lineRule="auto"/>
        <w:jc w:val="left"/>
        <w:rPr>
          <w:rFonts w:hint="eastAsia" w:ascii="仿宋" w:hAnsi="仿宋" w:eastAsia="仿宋" w:cs="仿宋"/>
          <w:color w:val="auto"/>
          <w:sz w:val="24"/>
        </w:rPr>
      </w:pPr>
    </w:p>
    <w:p w14:paraId="42BE01F8">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0E5E6F3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7DE89CB">
      <w:pPr>
        <w:wordWrap w:val="0"/>
        <w:spacing w:line="360" w:lineRule="auto"/>
        <w:rPr>
          <w:rFonts w:hint="eastAsia" w:ascii="仿宋" w:hAnsi="仿宋" w:eastAsia="仿宋" w:cs="仿宋"/>
          <w:color w:val="auto"/>
          <w:kern w:val="1"/>
          <w:sz w:val="24"/>
        </w:rPr>
        <w:sectPr>
          <w:headerReference r:id="rId25"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0F591CA5">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bCs/>
          <w:color w:val="auto"/>
          <w:sz w:val="32"/>
          <w:szCs w:val="32"/>
        </w:rPr>
        <w:t>格式2-2</w:t>
      </w:r>
    </w:p>
    <w:p w14:paraId="68ACAEFF">
      <w:pPr>
        <w:widowControl/>
        <w:numPr>
          <w:ilvl w:val="0"/>
          <w:numId w:val="3"/>
        </w:numPr>
        <w:wordWrap w:val="0"/>
        <w:spacing w:line="360" w:lineRule="auto"/>
        <w:jc w:val="center"/>
        <w:outlineLvl w:val="1"/>
        <w:rPr>
          <w:rFonts w:hint="eastAsia" w:ascii="仿宋" w:hAnsi="仿宋" w:eastAsia="仿宋" w:cs="仿宋"/>
          <w:b/>
          <w:color w:val="auto"/>
          <w:sz w:val="32"/>
          <w:szCs w:val="32"/>
          <w:lang w:eastAsia="en-US"/>
        </w:rPr>
      </w:pPr>
      <w:bookmarkStart w:id="26" w:name="_Toc24708"/>
      <w:bookmarkEnd w:id="26"/>
      <w:r>
        <w:rPr>
          <w:rFonts w:hint="eastAsia" w:ascii="仿宋" w:hAnsi="仿宋" w:eastAsia="仿宋" w:cs="仿宋"/>
          <w:b/>
          <w:color w:val="auto"/>
          <w:sz w:val="32"/>
          <w:szCs w:val="32"/>
          <w:lang w:eastAsia="en-US"/>
        </w:rPr>
        <w:t>承诺函</w:t>
      </w:r>
    </w:p>
    <w:p w14:paraId="43C24A4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0FA9216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66730D1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一、完全接受和满足本项目磋商文件中规定的实质性要求，如对磋商文件有异议，已依法进行维权救济，不存在对磋商文件有异议的同时又参加磋商以求侥幸成交或者为实现其他非法目的的行为。</w:t>
      </w:r>
    </w:p>
    <w:p w14:paraId="66C9E652">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二、参加本次磋商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6A95D61E">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三、参加本次磋商采购活动，不存在和其他供应商在同一合同项下的采购项目中，同时委托同一个自然人、同一家庭的人员、同一单位的人员作为代理人的行为。</w:t>
      </w:r>
    </w:p>
    <w:p w14:paraId="1144202E">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四、不发生任何串通与项目有关的相关单位，损害采购人利益的行为。</w:t>
      </w:r>
    </w:p>
    <w:p w14:paraId="7D935209">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本单位对上述承诺的内容事项真实性负责。如经查实上述承诺的内容事项存在虚假，我单位愿意接受以提供虚假材料谋取中标追究法律责任。</w:t>
      </w:r>
    </w:p>
    <w:p w14:paraId="17BF0E7F">
      <w:pPr>
        <w:wordWrap w:val="0"/>
        <w:spacing w:line="360" w:lineRule="auto"/>
        <w:ind w:firstLine="480"/>
        <w:jc w:val="left"/>
        <w:rPr>
          <w:rFonts w:hint="eastAsia" w:ascii="仿宋" w:hAnsi="仿宋" w:eastAsia="仿宋" w:cs="仿宋"/>
          <w:color w:val="auto"/>
          <w:sz w:val="24"/>
        </w:rPr>
      </w:pPr>
    </w:p>
    <w:p w14:paraId="179BCEEB">
      <w:pPr>
        <w:wordWrap w:val="0"/>
        <w:spacing w:line="360" w:lineRule="auto"/>
        <w:jc w:val="left"/>
        <w:rPr>
          <w:rFonts w:hint="eastAsia" w:ascii="仿宋" w:hAnsi="仿宋" w:eastAsia="仿宋" w:cs="仿宋"/>
          <w:color w:val="auto"/>
          <w:sz w:val="22"/>
        </w:rPr>
      </w:pPr>
    </w:p>
    <w:p w14:paraId="4F5DCA5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C29261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31A6B45E">
      <w:pPr>
        <w:wordWrap w:val="0"/>
        <w:spacing w:line="360" w:lineRule="auto"/>
        <w:jc w:val="left"/>
        <w:rPr>
          <w:rFonts w:hint="eastAsia" w:ascii="仿宋" w:hAnsi="仿宋" w:eastAsia="仿宋" w:cs="仿宋"/>
          <w:color w:val="auto"/>
          <w:sz w:val="24"/>
          <w:szCs w:val="24"/>
        </w:rPr>
        <w:sectPr>
          <w:headerReference r:id="rId26"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63625197">
      <w:pPr>
        <w:wordWrap w:val="0"/>
        <w:spacing w:line="360" w:lineRule="auto"/>
        <w:jc w:val="left"/>
        <w:rPr>
          <w:rFonts w:hint="eastAsia" w:ascii="仿宋" w:hAnsi="仿宋" w:eastAsia="仿宋" w:cs="仿宋"/>
          <w:b/>
          <w:color w:val="auto"/>
          <w:sz w:val="32"/>
          <w:szCs w:val="32"/>
        </w:rPr>
      </w:pPr>
      <w:bookmarkStart w:id="27" w:name="_Toc6637"/>
      <w:bookmarkEnd w:id="27"/>
      <w:r>
        <w:rPr>
          <w:rFonts w:hint="eastAsia" w:ascii="仿宋" w:hAnsi="仿宋" w:eastAsia="仿宋" w:cs="仿宋"/>
          <w:b/>
          <w:color w:val="auto"/>
          <w:sz w:val="32"/>
          <w:szCs w:val="32"/>
        </w:rPr>
        <w:t>格式2-3</w:t>
      </w:r>
    </w:p>
    <w:p w14:paraId="4DE0E6B8">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供应商基本情况表</w:t>
      </w:r>
    </w:p>
    <w:tbl>
      <w:tblPr>
        <w:tblStyle w:val="3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166"/>
        <w:gridCol w:w="1208"/>
        <w:gridCol w:w="1432"/>
        <w:gridCol w:w="248"/>
        <w:gridCol w:w="602"/>
        <w:gridCol w:w="1378"/>
      </w:tblGrid>
      <w:tr w14:paraId="356AB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18" w:space="0"/>
              <w:left w:val="single" w:color="auto" w:sz="18" w:space="0"/>
              <w:bottom w:val="single" w:color="auto" w:sz="6" w:space="0"/>
              <w:right w:val="single" w:color="auto" w:sz="6" w:space="0"/>
            </w:tcBorders>
            <w:noWrap/>
            <w:vAlign w:val="center"/>
          </w:tcPr>
          <w:p w14:paraId="48000B04">
            <w:pPr>
              <w:wordWrap w:val="0"/>
              <w:rPr>
                <w:rFonts w:hint="eastAsia" w:ascii="仿宋" w:hAnsi="仿宋" w:eastAsia="仿宋" w:cs="仿宋"/>
                <w:color w:val="auto"/>
                <w:sz w:val="24"/>
                <w:lang w:eastAsia="en-US"/>
              </w:rPr>
            </w:pPr>
            <w:r>
              <w:rPr>
                <w:rFonts w:hint="eastAsia" w:ascii="仿宋" w:hAnsi="仿宋" w:eastAsia="仿宋" w:cs="仿宋"/>
                <w:color w:val="auto"/>
                <w:sz w:val="24"/>
              </w:rPr>
              <w:t>供应商</w:t>
            </w:r>
            <w:r>
              <w:rPr>
                <w:rFonts w:hint="eastAsia" w:ascii="仿宋" w:hAnsi="仿宋" w:eastAsia="仿宋" w:cs="仿宋"/>
                <w:color w:val="auto"/>
                <w:sz w:val="24"/>
                <w:lang w:eastAsia="en-US"/>
              </w:rPr>
              <w:t>名称</w:t>
            </w:r>
          </w:p>
        </w:tc>
        <w:tc>
          <w:tcPr>
            <w:tcW w:w="6991" w:type="dxa"/>
            <w:gridSpan w:val="7"/>
            <w:tcBorders>
              <w:top w:val="single" w:color="auto" w:sz="18" w:space="0"/>
              <w:left w:val="single" w:color="auto" w:sz="6" w:space="0"/>
              <w:bottom w:val="single" w:color="auto" w:sz="6" w:space="0"/>
              <w:right w:val="single" w:color="auto" w:sz="18" w:space="0"/>
            </w:tcBorders>
            <w:noWrap/>
            <w:vAlign w:val="center"/>
          </w:tcPr>
          <w:p w14:paraId="44B3810E">
            <w:pPr>
              <w:wordWrap w:val="0"/>
              <w:rPr>
                <w:rFonts w:hint="eastAsia" w:ascii="仿宋" w:hAnsi="仿宋" w:eastAsia="仿宋" w:cs="仿宋"/>
                <w:color w:val="auto"/>
                <w:sz w:val="24"/>
                <w:lang w:eastAsia="en-US"/>
              </w:rPr>
            </w:pPr>
          </w:p>
        </w:tc>
      </w:tr>
      <w:tr w14:paraId="0A2500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5B3F253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注册地址</w:t>
            </w:r>
          </w:p>
        </w:tc>
        <w:tc>
          <w:tcPr>
            <w:tcW w:w="3331" w:type="dxa"/>
            <w:gridSpan w:val="3"/>
            <w:tcBorders>
              <w:top w:val="single" w:color="auto" w:sz="6" w:space="0"/>
              <w:left w:val="single" w:color="auto" w:sz="6" w:space="0"/>
              <w:bottom w:val="single" w:color="auto" w:sz="6" w:space="0"/>
              <w:right w:val="single" w:color="auto" w:sz="6" w:space="0"/>
            </w:tcBorders>
            <w:noWrap/>
            <w:vAlign w:val="center"/>
          </w:tcPr>
          <w:p w14:paraId="2083C703">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7A76869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邮政编码</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30175502">
            <w:pPr>
              <w:wordWrap w:val="0"/>
              <w:rPr>
                <w:rFonts w:hint="eastAsia" w:ascii="仿宋" w:hAnsi="仿宋" w:eastAsia="仿宋" w:cs="仿宋"/>
                <w:color w:val="auto"/>
                <w:sz w:val="24"/>
                <w:lang w:eastAsia="en-US"/>
              </w:rPr>
            </w:pPr>
          </w:p>
        </w:tc>
      </w:tr>
      <w:tr w14:paraId="25D085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restart"/>
            <w:tcBorders>
              <w:top w:val="single" w:color="auto" w:sz="6" w:space="0"/>
              <w:left w:val="single" w:color="auto" w:sz="18" w:space="0"/>
              <w:bottom w:val="single" w:color="auto" w:sz="6" w:space="0"/>
              <w:right w:val="single" w:color="auto" w:sz="6" w:space="0"/>
            </w:tcBorders>
            <w:noWrap/>
            <w:vAlign w:val="center"/>
          </w:tcPr>
          <w:p w14:paraId="4880A44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联系方式</w:t>
            </w:r>
          </w:p>
        </w:tc>
        <w:tc>
          <w:tcPr>
            <w:tcW w:w="957" w:type="dxa"/>
            <w:tcBorders>
              <w:top w:val="single" w:color="auto" w:sz="6" w:space="0"/>
              <w:left w:val="single" w:color="auto" w:sz="6" w:space="0"/>
              <w:bottom w:val="single" w:color="auto" w:sz="6" w:space="0"/>
              <w:right w:val="single" w:color="auto" w:sz="6" w:space="0"/>
            </w:tcBorders>
            <w:noWrap/>
            <w:vAlign w:val="center"/>
          </w:tcPr>
          <w:p w14:paraId="0A2B2DA9">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联系人</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35835528">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0A66B22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20CE4F9A">
            <w:pPr>
              <w:wordWrap w:val="0"/>
              <w:rPr>
                <w:rFonts w:hint="eastAsia" w:ascii="仿宋" w:hAnsi="仿宋" w:eastAsia="仿宋" w:cs="仿宋"/>
                <w:color w:val="auto"/>
                <w:sz w:val="24"/>
                <w:lang w:eastAsia="en-US"/>
              </w:rPr>
            </w:pPr>
          </w:p>
        </w:tc>
      </w:tr>
      <w:tr w14:paraId="753E54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continue"/>
            <w:tcBorders>
              <w:top w:val="single" w:color="auto" w:sz="6" w:space="0"/>
              <w:left w:val="single" w:color="auto" w:sz="18" w:space="0"/>
              <w:bottom w:val="single" w:color="auto" w:sz="6" w:space="0"/>
              <w:right w:val="single" w:color="auto" w:sz="6" w:space="0"/>
            </w:tcBorders>
            <w:noWrap/>
            <w:vAlign w:val="center"/>
          </w:tcPr>
          <w:p w14:paraId="4BAFFEFD">
            <w:pPr>
              <w:wordWrap w:val="0"/>
              <w:rPr>
                <w:rFonts w:hint="eastAsia" w:ascii="仿宋" w:hAnsi="仿宋" w:eastAsia="仿宋" w:cs="仿宋"/>
                <w:color w:val="auto"/>
                <w:sz w:val="24"/>
                <w:lang w:eastAsia="en-US"/>
              </w:rPr>
            </w:pPr>
          </w:p>
        </w:tc>
        <w:tc>
          <w:tcPr>
            <w:tcW w:w="957" w:type="dxa"/>
            <w:tcBorders>
              <w:top w:val="single" w:color="auto" w:sz="6" w:space="0"/>
              <w:left w:val="single" w:color="auto" w:sz="6" w:space="0"/>
              <w:bottom w:val="single" w:color="auto" w:sz="6" w:space="0"/>
              <w:right w:val="single" w:color="auto" w:sz="6" w:space="0"/>
            </w:tcBorders>
            <w:noWrap/>
            <w:vAlign w:val="center"/>
          </w:tcPr>
          <w:p w14:paraId="39D61AD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传真</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65D03EEF">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010B43B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网址</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2830DA95">
            <w:pPr>
              <w:wordWrap w:val="0"/>
              <w:rPr>
                <w:rFonts w:hint="eastAsia" w:ascii="仿宋" w:hAnsi="仿宋" w:eastAsia="仿宋" w:cs="仿宋"/>
                <w:color w:val="auto"/>
                <w:sz w:val="24"/>
                <w:lang w:eastAsia="en-US"/>
              </w:rPr>
            </w:pPr>
          </w:p>
        </w:tc>
      </w:tr>
      <w:tr w14:paraId="3EB12A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733F9DEC">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组织结构</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6A9A5B65">
            <w:pPr>
              <w:wordWrap w:val="0"/>
              <w:rPr>
                <w:rFonts w:hint="eastAsia" w:ascii="仿宋" w:hAnsi="仿宋" w:eastAsia="仿宋" w:cs="仿宋"/>
                <w:color w:val="auto"/>
                <w:sz w:val="24"/>
                <w:lang w:eastAsia="en-US"/>
              </w:rPr>
            </w:pPr>
          </w:p>
        </w:tc>
      </w:tr>
      <w:tr w14:paraId="7F1507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2DC5BC05">
            <w:pPr>
              <w:wordWrap w:val="0"/>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15CAE8F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2457AA04">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522218F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0124C0CF">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7A056916">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3C9D716C">
            <w:pPr>
              <w:wordWrap w:val="0"/>
              <w:rPr>
                <w:rFonts w:hint="eastAsia" w:ascii="仿宋" w:hAnsi="仿宋" w:eastAsia="仿宋" w:cs="仿宋"/>
                <w:color w:val="auto"/>
                <w:sz w:val="24"/>
                <w:lang w:eastAsia="en-US"/>
              </w:rPr>
            </w:pPr>
          </w:p>
        </w:tc>
      </w:tr>
      <w:tr w14:paraId="220C26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4E040E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0A262580">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74795B97">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6EBBA39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2F80D6AA">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7CB811B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3C8DABFF">
            <w:pPr>
              <w:wordWrap w:val="0"/>
              <w:rPr>
                <w:rFonts w:hint="eastAsia" w:ascii="仿宋" w:hAnsi="仿宋" w:eastAsia="仿宋" w:cs="仿宋"/>
                <w:color w:val="auto"/>
                <w:sz w:val="24"/>
                <w:lang w:eastAsia="en-US"/>
              </w:rPr>
            </w:pPr>
          </w:p>
        </w:tc>
      </w:tr>
      <w:tr w14:paraId="6EBF90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738BBF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成立时间</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6690EA58">
            <w:pPr>
              <w:wordWrap w:val="0"/>
              <w:rPr>
                <w:rFonts w:hint="eastAsia" w:ascii="仿宋" w:hAnsi="仿宋" w:eastAsia="仿宋" w:cs="仿宋"/>
                <w:color w:val="auto"/>
                <w:sz w:val="24"/>
                <w:lang w:eastAsia="en-US"/>
              </w:rPr>
            </w:pPr>
          </w:p>
        </w:tc>
        <w:tc>
          <w:tcPr>
            <w:tcW w:w="4868" w:type="dxa"/>
            <w:gridSpan w:val="5"/>
            <w:tcBorders>
              <w:top w:val="single" w:color="auto" w:sz="6" w:space="0"/>
              <w:left w:val="single" w:color="auto" w:sz="6" w:space="0"/>
              <w:bottom w:val="single" w:color="auto" w:sz="6" w:space="0"/>
              <w:right w:val="single" w:color="auto" w:sz="18" w:space="0"/>
            </w:tcBorders>
            <w:noWrap/>
            <w:vAlign w:val="center"/>
          </w:tcPr>
          <w:p w14:paraId="607B2176">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员工总人数：</w:t>
            </w:r>
          </w:p>
        </w:tc>
      </w:tr>
      <w:tr w14:paraId="189364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6172FC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企业资质等级</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0291B966">
            <w:pPr>
              <w:wordWrap w:val="0"/>
              <w:rPr>
                <w:rFonts w:hint="eastAsia" w:ascii="仿宋" w:hAnsi="仿宋" w:eastAsia="仿宋" w:cs="仿宋"/>
                <w:color w:val="auto"/>
                <w:sz w:val="24"/>
                <w:lang w:eastAsia="en-US"/>
              </w:rPr>
            </w:pPr>
          </w:p>
        </w:tc>
        <w:tc>
          <w:tcPr>
            <w:tcW w:w="1208" w:type="dxa"/>
            <w:vMerge w:val="restart"/>
            <w:tcBorders>
              <w:top w:val="single" w:color="auto" w:sz="6" w:space="0"/>
              <w:left w:val="single" w:color="auto" w:sz="6" w:space="0"/>
              <w:bottom w:val="single" w:color="auto" w:sz="6" w:space="0"/>
              <w:right w:val="single" w:color="auto" w:sz="6" w:space="0"/>
            </w:tcBorders>
            <w:noWrap/>
            <w:vAlign w:val="center"/>
          </w:tcPr>
          <w:p w14:paraId="2B821D1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其中</w:t>
            </w: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39A2436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项目经理</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21000382">
            <w:pPr>
              <w:wordWrap w:val="0"/>
              <w:rPr>
                <w:rFonts w:hint="eastAsia" w:ascii="仿宋" w:hAnsi="仿宋" w:eastAsia="仿宋" w:cs="仿宋"/>
                <w:color w:val="auto"/>
                <w:sz w:val="24"/>
                <w:lang w:eastAsia="en-US"/>
              </w:rPr>
            </w:pPr>
          </w:p>
        </w:tc>
      </w:tr>
      <w:tr w14:paraId="0F58A1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977C76D">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营业执照号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332A84B4">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0131BAA5">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6BD209D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高级职称人员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73D00B91">
            <w:pPr>
              <w:wordWrap w:val="0"/>
              <w:rPr>
                <w:rFonts w:hint="eastAsia" w:ascii="仿宋" w:hAnsi="仿宋" w:eastAsia="仿宋" w:cs="仿宋"/>
                <w:color w:val="auto"/>
                <w:sz w:val="24"/>
                <w:lang w:eastAsia="en-US"/>
              </w:rPr>
            </w:pPr>
          </w:p>
        </w:tc>
      </w:tr>
      <w:tr w14:paraId="36390F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5630E8E7">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注册资金</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2D63CF45">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69134C60">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2465F590">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中级职称人员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768A645C">
            <w:pPr>
              <w:wordWrap w:val="0"/>
              <w:rPr>
                <w:rFonts w:hint="eastAsia" w:ascii="仿宋" w:hAnsi="仿宋" w:eastAsia="仿宋" w:cs="仿宋"/>
                <w:color w:val="auto"/>
                <w:sz w:val="24"/>
                <w:lang w:eastAsia="en-US"/>
              </w:rPr>
            </w:pPr>
          </w:p>
        </w:tc>
      </w:tr>
      <w:tr w14:paraId="761395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6130D6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开户银行</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63F581E7">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5C856D2F">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05BA7DF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初级职称人员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5E802B8C">
            <w:pPr>
              <w:wordWrap w:val="0"/>
              <w:rPr>
                <w:rFonts w:hint="eastAsia" w:ascii="仿宋" w:hAnsi="仿宋" w:eastAsia="仿宋" w:cs="仿宋"/>
                <w:color w:val="auto"/>
                <w:sz w:val="24"/>
                <w:lang w:eastAsia="en-US"/>
              </w:rPr>
            </w:pPr>
          </w:p>
        </w:tc>
      </w:tr>
      <w:tr w14:paraId="1DE921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85AD15F">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账号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7F1F182D">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66EF816A">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0D449E2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技工</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1C73B4BB">
            <w:pPr>
              <w:wordWrap w:val="0"/>
              <w:rPr>
                <w:rFonts w:hint="eastAsia" w:ascii="仿宋" w:hAnsi="仿宋" w:eastAsia="仿宋" w:cs="仿宋"/>
                <w:color w:val="auto"/>
                <w:sz w:val="24"/>
                <w:lang w:eastAsia="en-US"/>
              </w:rPr>
            </w:pPr>
          </w:p>
        </w:tc>
      </w:tr>
      <w:tr w14:paraId="738A02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13C0CF52">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经营范围</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66DE26F9">
            <w:pPr>
              <w:wordWrap w:val="0"/>
              <w:rPr>
                <w:rFonts w:hint="eastAsia" w:ascii="仿宋" w:hAnsi="仿宋" w:eastAsia="仿宋" w:cs="仿宋"/>
                <w:color w:val="auto"/>
                <w:sz w:val="24"/>
                <w:lang w:eastAsia="en-US"/>
              </w:rPr>
            </w:pPr>
          </w:p>
        </w:tc>
      </w:tr>
      <w:tr w14:paraId="55BFA0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18" w:space="0"/>
              <w:right w:val="single" w:color="auto" w:sz="6" w:space="0"/>
            </w:tcBorders>
            <w:noWrap/>
          </w:tcPr>
          <w:p w14:paraId="108B5BD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备注</w:t>
            </w:r>
          </w:p>
        </w:tc>
        <w:tc>
          <w:tcPr>
            <w:tcW w:w="6991" w:type="dxa"/>
            <w:gridSpan w:val="7"/>
            <w:tcBorders>
              <w:top w:val="single" w:color="auto" w:sz="6" w:space="0"/>
              <w:left w:val="single" w:color="auto" w:sz="6" w:space="0"/>
              <w:bottom w:val="single" w:color="auto" w:sz="18" w:space="0"/>
              <w:right w:val="single" w:color="auto" w:sz="18" w:space="0"/>
            </w:tcBorders>
            <w:noWrap/>
          </w:tcPr>
          <w:p w14:paraId="4D4E73DC">
            <w:pPr>
              <w:wordWrap w:val="0"/>
              <w:rPr>
                <w:rFonts w:hint="eastAsia" w:ascii="仿宋" w:hAnsi="仿宋" w:eastAsia="仿宋" w:cs="仿宋"/>
                <w:color w:val="auto"/>
                <w:sz w:val="24"/>
                <w:lang w:eastAsia="en-US"/>
              </w:rPr>
            </w:pPr>
          </w:p>
        </w:tc>
      </w:tr>
    </w:tbl>
    <w:p w14:paraId="33769573">
      <w:pPr>
        <w:wordWrap w:val="0"/>
        <w:spacing w:line="360" w:lineRule="auto"/>
        <w:jc w:val="left"/>
        <w:rPr>
          <w:rFonts w:hint="eastAsia" w:ascii="仿宋" w:hAnsi="仿宋" w:eastAsia="仿宋" w:cs="仿宋"/>
          <w:color w:val="auto"/>
          <w:sz w:val="24"/>
          <w:lang w:eastAsia="en-US"/>
        </w:rPr>
      </w:pPr>
    </w:p>
    <w:p w14:paraId="67503BEF">
      <w:pPr>
        <w:wordWrap w:val="0"/>
        <w:spacing w:line="360" w:lineRule="auto"/>
        <w:jc w:val="left"/>
        <w:rPr>
          <w:rFonts w:hint="eastAsia" w:ascii="仿宋" w:hAnsi="仿宋" w:eastAsia="仿宋" w:cs="仿宋"/>
          <w:color w:val="auto"/>
          <w:sz w:val="24"/>
          <w:lang w:eastAsia="en-US"/>
        </w:rPr>
      </w:pPr>
    </w:p>
    <w:p w14:paraId="0C1833E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178B732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BCDFB15">
      <w:pPr>
        <w:rPr>
          <w:rFonts w:hint="eastAsia" w:ascii="仿宋" w:hAnsi="仿宋" w:eastAsia="仿宋" w:cs="仿宋"/>
          <w:b/>
          <w:color w:val="auto"/>
          <w:sz w:val="32"/>
          <w:szCs w:val="32"/>
        </w:rPr>
      </w:pPr>
      <w:r>
        <w:rPr>
          <w:rFonts w:hint="eastAsia" w:ascii="仿宋" w:hAnsi="仿宋" w:eastAsia="仿宋" w:cs="仿宋"/>
          <w:color w:val="auto"/>
          <w:sz w:val="24"/>
          <w:lang w:eastAsia="en-US"/>
        </w:rPr>
        <w:t>日期：</w:t>
      </w:r>
      <w:r>
        <w:rPr>
          <w:rFonts w:hint="eastAsia" w:ascii="仿宋" w:hAnsi="仿宋" w:eastAsia="仿宋" w:cs="仿宋"/>
          <w:b/>
          <w:color w:val="auto"/>
          <w:sz w:val="32"/>
          <w:szCs w:val="32"/>
        </w:rPr>
        <w:br w:type="page"/>
      </w:r>
    </w:p>
    <w:p w14:paraId="082632E4">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格式2-4</w:t>
      </w:r>
    </w:p>
    <w:p w14:paraId="3C7B1BA3">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供应商本项目管理、技术、服务人员情况表</w:t>
      </w:r>
    </w:p>
    <w:tbl>
      <w:tblPr>
        <w:tblStyle w:val="34"/>
        <w:tblpPr w:leftFromText="180" w:rightFromText="180" w:vertAnchor="text" w:horzAnchor="margin" w:tblpX="108"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810"/>
        <w:gridCol w:w="811"/>
        <w:gridCol w:w="811"/>
        <w:gridCol w:w="1239"/>
        <w:gridCol w:w="1232"/>
        <w:gridCol w:w="743"/>
        <w:gridCol w:w="846"/>
        <w:gridCol w:w="743"/>
      </w:tblGrid>
      <w:tr w14:paraId="50D5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59E008A4">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类别</w:t>
            </w:r>
          </w:p>
        </w:tc>
        <w:tc>
          <w:tcPr>
            <w:tcW w:w="810" w:type="dxa"/>
            <w:vMerge w:val="restart"/>
            <w:vAlign w:val="center"/>
          </w:tcPr>
          <w:p w14:paraId="02B85FE9">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职务</w:t>
            </w:r>
          </w:p>
        </w:tc>
        <w:tc>
          <w:tcPr>
            <w:tcW w:w="811" w:type="dxa"/>
            <w:vMerge w:val="restart"/>
            <w:vAlign w:val="center"/>
          </w:tcPr>
          <w:p w14:paraId="7644296F">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姓名</w:t>
            </w:r>
          </w:p>
        </w:tc>
        <w:tc>
          <w:tcPr>
            <w:tcW w:w="811" w:type="dxa"/>
            <w:vMerge w:val="restart"/>
            <w:vAlign w:val="center"/>
          </w:tcPr>
          <w:p w14:paraId="2FF6859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职称</w:t>
            </w:r>
          </w:p>
        </w:tc>
        <w:tc>
          <w:tcPr>
            <w:tcW w:w="1239" w:type="dxa"/>
            <w:vMerge w:val="restart"/>
            <w:vAlign w:val="center"/>
          </w:tcPr>
          <w:p w14:paraId="1F6F721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常住地</w:t>
            </w:r>
          </w:p>
        </w:tc>
        <w:tc>
          <w:tcPr>
            <w:tcW w:w="3564" w:type="dxa"/>
            <w:gridSpan w:val="4"/>
            <w:vAlign w:val="center"/>
          </w:tcPr>
          <w:p w14:paraId="11785803">
            <w:pPr>
              <w:spacing w:line="360" w:lineRule="auto"/>
              <w:jc w:val="center"/>
              <w:rPr>
                <w:rFonts w:hint="eastAsia" w:ascii="仿宋" w:hAnsi="仿宋" w:eastAsia="仿宋" w:cs="仿宋"/>
                <w:color w:val="auto"/>
                <w:sz w:val="22"/>
              </w:rPr>
            </w:pPr>
            <w:r>
              <w:rPr>
                <w:rFonts w:hint="eastAsia" w:ascii="仿宋" w:hAnsi="仿宋" w:eastAsia="仿宋" w:cs="仿宋"/>
                <w:color w:val="auto"/>
                <w:sz w:val="22"/>
              </w:rPr>
              <w:t>资格证明（附复印件）</w:t>
            </w:r>
          </w:p>
        </w:tc>
      </w:tr>
      <w:tr w14:paraId="575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1DAE9392">
            <w:pPr>
              <w:spacing w:line="360" w:lineRule="auto"/>
              <w:jc w:val="center"/>
              <w:rPr>
                <w:rFonts w:hint="eastAsia" w:ascii="仿宋" w:hAnsi="仿宋" w:eastAsia="仿宋" w:cs="仿宋"/>
                <w:color w:val="auto"/>
                <w:sz w:val="22"/>
              </w:rPr>
            </w:pPr>
          </w:p>
        </w:tc>
        <w:tc>
          <w:tcPr>
            <w:tcW w:w="810" w:type="dxa"/>
            <w:vMerge w:val="continue"/>
            <w:vAlign w:val="center"/>
          </w:tcPr>
          <w:p w14:paraId="4D600BB3">
            <w:pPr>
              <w:spacing w:line="360" w:lineRule="auto"/>
              <w:jc w:val="center"/>
              <w:rPr>
                <w:rFonts w:hint="eastAsia" w:ascii="仿宋" w:hAnsi="仿宋" w:eastAsia="仿宋" w:cs="仿宋"/>
                <w:color w:val="auto"/>
                <w:sz w:val="22"/>
              </w:rPr>
            </w:pPr>
          </w:p>
        </w:tc>
        <w:tc>
          <w:tcPr>
            <w:tcW w:w="811" w:type="dxa"/>
            <w:vMerge w:val="continue"/>
            <w:vAlign w:val="center"/>
          </w:tcPr>
          <w:p w14:paraId="78ADACB0">
            <w:pPr>
              <w:spacing w:line="360" w:lineRule="auto"/>
              <w:jc w:val="center"/>
              <w:rPr>
                <w:rFonts w:hint="eastAsia" w:ascii="仿宋" w:hAnsi="仿宋" w:eastAsia="仿宋" w:cs="仿宋"/>
                <w:color w:val="auto"/>
                <w:sz w:val="22"/>
              </w:rPr>
            </w:pPr>
          </w:p>
        </w:tc>
        <w:tc>
          <w:tcPr>
            <w:tcW w:w="811" w:type="dxa"/>
            <w:vMerge w:val="continue"/>
            <w:vAlign w:val="center"/>
          </w:tcPr>
          <w:p w14:paraId="39C6D3E6">
            <w:pPr>
              <w:spacing w:line="360" w:lineRule="auto"/>
              <w:jc w:val="center"/>
              <w:rPr>
                <w:rFonts w:hint="eastAsia" w:ascii="仿宋" w:hAnsi="仿宋" w:eastAsia="仿宋" w:cs="仿宋"/>
                <w:color w:val="auto"/>
                <w:sz w:val="22"/>
              </w:rPr>
            </w:pPr>
          </w:p>
        </w:tc>
        <w:tc>
          <w:tcPr>
            <w:tcW w:w="1239" w:type="dxa"/>
            <w:vMerge w:val="continue"/>
            <w:vAlign w:val="center"/>
          </w:tcPr>
          <w:p w14:paraId="1BBBF10E">
            <w:pPr>
              <w:spacing w:line="360" w:lineRule="auto"/>
              <w:jc w:val="center"/>
              <w:rPr>
                <w:rFonts w:hint="eastAsia" w:ascii="仿宋" w:hAnsi="仿宋" w:eastAsia="仿宋" w:cs="仿宋"/>
                <w:color w:val="auto"/>
                <w:sz w:val="22"/>
              </w:rPr>
            </w:pPr>
          </w:p>
        </w:tc>
        <w:tc>
          <w:tcPr>
            <w:tcW w:w="1232" w:type="dxa"/>
            <w:vAlign w:val="center"/>
          </w:tcPr>
          <w:p w14:paraId="141B590A">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证书名称</w:t>
            </w:r>
          </w:p>
        </w:tc>
        <w:tc>
          <w:tcPr>
            <w:tcW w:w="743" w:type="dxa"/>
            <w:vAlign w:val="center"/>
          </w:tcPr>
          <w:p w14:paraId="78339BE3">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级别</w:t>
            </w:r>
          </w:p>
        </w:tc>
        <w:tc>
          <w:tcPr>
            <w:tcW w:w="846" w:type="dxa"/>
            <w:vAlign w:val="center"/>
          </w:tcPr>
          <w:p w14:paraId="6EF049B3">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证号</w:t>
            </w:r>
          </w:p>
        </w:tc>
        <w:tc>
          <w:tcPr>
            <w:tcW w:w="743" w:type="dxa"/>
            <w:vAlign w:val="center"/>
          </w:tcPr>
          <w:p w14:paraId="13484A2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专业</w:t>
            </w:r>
          </w:p>
        </w:tc>
      </w:tr>
      <w:tr w14:paraId="5714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62177E9F">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管</w:t>
            </w:r>
          </w:p>
          <w:p w14:paraId="3A619086">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理</w:t>
            </w:r>
          </w:p>
          <w:p w14:paraId="4BF23AB2">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26C2AC96">
            <w:pPr>
              <w:spacing w:line="360" w:lineRule="auto"/>
              <w:jc w:val="center"/>
              <w:rPr>
                <w:rFonts w:hint="eastAsia" w:ascii="仿宋" w:hAnsi="仿宋" w:eastAsia="仿宋" w:cs="仿宋"/>
                <w:color w:val="auto"/>
                <w:sz w:val="28"/>
                <w:lang w:eastAsia="en-US"/>
              </w:rPr>
            </w:pPr>
            <w:r>
              <w:rPr>
                <w:rFonts w:hint="eastAsia" w:ascii="仿宋" w:hAnsi="仿宋" w:eastAsia="仿宋" w:cs="仿宋"/>
                <w:color w:val="auto"/>
                <w:sz w:val="22"/>
                <w:lang w:eastAsia="en-US"/>
              </w:rPr>
              <w:t>员</w:t>
            </w:r>
          </w:p>
        </w:tc>
        <w:tc>
          <w:tcPr>
            <w:tcW w:w="810" w:type="dxa"/>
          </w:tcPr>
          <w:p w14:paraId="1563BBE1">
            <w:pPr>
              <w:spacing w:line="360" w:lineRule="auto"/>
              <w:rPr>
                <w:rFonts w:hint="eastAsia" w:ascii="仿宋" w:hAnsi="仿宋" w:eastAsia="仿宋" w:cs="仿宋"/>
                <w:color w:val="auto"/>
                <w:sz w:val="28"/>
                <w:lang w:eastAsia="en-US"/>
              </w:rPr>
            </w:pPr>
          </w:p>
        </w:tc>
        <w:tc>
          <w:tcPr>
            <w:tcW w:w="811" w:type="dxa"/>
          </w:tcPr>
          <w:p w14:paraId="2E2B61DC">
            <w:pPr>
              <w:spacing w:line="360" w:lineRule="auto"/>
              <w:rPr>
                <w:rFonts w:hint="eastAsia" w:ascii="仿宋" w:hAnsi="仿宋" w:eastAsia="仿宋" w:cs="仿宋"/>
                <w:color w:val="auto"/>
                <w:sz w:val="28"/>
                <w:lang w:eastAsia="en-US"/>
              </w:rPr>
            </w:pPr>
          </w:p>
        </w:tc>
        <w:tc>
          <w:tcPr>
            <w:tcW w:w="811" w:type="dxa"/>
          </w:tcPr>
          <w:p w14:paraId="5155F476">
            <w:pPr>
              <w:spacing w:line="360" w:lineRule="auto"/>
              <w:rPr>
                <w:rFonts w:hint="eastAsia" w:ascii="仿宋" w:hAnsi="仿宋" w:eastAsia="仿宋" w:cs="仿宋"/>
                <w:color w:val="auto"/>
                <w:sz w:val="28"/>
                <w:lang w:eastAsia="en-US"/>
              </w:rPr>
            </w:pPr>
          </w:p>
        </w:tc>
        <w:tc>
          <w:tcPr>
            <w:tcW w:w="1239" w:type="dxa"/>
          </w:tcPr>
          <w:p w14:paraId="69902DE7">
            <w:pPr>
              <w:spacing w:line="360" w:lineRule="auto"/>
              <w:rPr>
                <w:rFonts w:hint="eastAsia" w:ascii="仿宋" w:hAnsi="仿宋" w:eastAsia="仿宋" w:cs="仿宋"/>
                <w:color w:val="auto"/>
                <w:sz w:val="28"/>
                <w:lang w:eastAsia="en-US"/>
              </w:rPr>
            </w:pPr>
          </w:p>
        </w:tc>
        <w:tc>
          <w:tcPr>
            <w:tcW w:w="1232" w:type="dxa"/>
          </w:tcPr>
          <w:p w14:paraId="5B3DEB5B">
            <w:pPr>
              <w:spacing w:line="360" w:lineRule="auto"/>
              <w:rPr>
                <w:rFonts w:hint="eastAsia" w:ascii="仿宋" w:hAnsi="仿宋" w:eastAsia="仿宋" w:cs="仿宋"/>
                <w:color w:val="auto"/>
                <w:sz w:val="28"/>
                <w:lang w:eastAsia="en-US"/>
              </w:rPr>
            </w:pPr>
          </w:p>
        </w:tc>
        <w:tc>
          <w:tcPr>
            <w:tcW w:w="743" w:type="dxa"/>
          </w:tcPr>
          <w:p w14:paraId="717AE63C">
            <w:pPr>
              <w:spacing w:line="360" w:lineRule="auto"/>
              <w:rPr>
                <w:rFonts w:hint="eastAsia" w:ascii="仿宋" w:hAnsi="仿宋" w:eastAsia="仿宋" w:cs="仿宋"/>
                <w:color w:val="auto"/>
                <w:sz w:val="28"/>
                <w:lang w:eastAsia="en-US"/>
              </w:rPr>
            </w:pPr>
          </w:p>
        </w:tc>
        <w:tc>
          <w:tcPr>
            <w:tcW w:w="846" w:type="dxa"/>
          </w:tcPr>
          <w:p w14:paraId="12DF8662">
            <w:pPr>
              <w:spacing w:line="360" w:lineRule="auto"/>
              <w:rPr>
                <w:rFonts w:hint="eastAsia" w:ascii="仿宋" w:hAnsi="仿宋" w:eastAsia="仿宋" w:cs="仿宋"/>
                <w:color w:val="auto"/>
                <w:sz w:val="28"/>
                <w:lang w:eastAsia="en-US"/>
              </w:rPr>
            </w:pPr>
          </w:p>
        </w:tc>
        <w:tc>
          <w:tcPr>
            <w:tcW w:w="743" w:type="dxa"/>
          </w:tcPr>
          <w:p w14:paraId="24331760">
            <w:pPr>
              <w:spacing w:line="360" w:lineRule="auto"/>
              <w:rPr>
                <w:rFonts w:hint="eastAsia" w:ascii="仿宋" w:hAnsi="仿宋" w:eastAsia="仿宋" w:cs="仿宋"/>
                <w:color w:val="auto"/>
                <w:sz w:val="28"/>
                <w:lang w:eastAsia="en-US"/>
              </w:rPr>
            </w:pPr>
          </w:p>
        </w:tc>
      </w:tr>
      <w:tr w14:paraId="23C1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468F7865">
            <w:pPr>
              <w:spacing w:line="360" w:lineRule="auto"/>
              <w:jc w:val="center"/>
              <w:rPr>
                <w:rFonts w:hint="eastAsia" w:ascii="仿宋" w:hAnsi="仿宋" w:eastAsia="仿宋" w:cs="仿宋"/>
                <w:color w:val="auto"/>
                <w:sz w:val="22"/>
                <w:lang w:eastAsia="en-US"/>
              </w:rPr>
            </w:pPr>
          </w:p>
        </w:tc>
        <w:tc>
          <w:tcPr>
            <w:tcW w:w="810" w:type="dxa"/>
          </w:tcPr>
          <w:p w14:paraId="090A8207">
            <w:pPr>
              <w:spacing w:line="360" w:lineRule="auto"/>
              <w:rPr>
                <w:rFonts w:hint="eastAsia" w:ascii="仿宋" w:hAnsi="仿宋" w:eastAsia="仿宋" w:cs="仿宋"/>
                <w:color w:val="auto"/>
                <w:sz w:val="28"/>
                <w:lang w:eastAsia="en-US"/>
              </w:rPr>
            </w:pPr>
          </w:p>
        </w:tc>
        <w:tc>
          <w:tcPr>
            <w:tcW w:w="811" w:type="dxa"/>
          </w:tcPr>
          <w:p w14:paraId="732AF705">
            <w:pPr>
              <w:spacing w:line="360" w:lineRule="auto"/>
              <w:rPr>
                <w:rFonts w:hint="eastAsia" w:ascii="仿宋" w:hAnsi="仿宋" w:eastAsia="仿宋" w:cs="仿宋"/>
                <w:color w:val="auto"/>
                <w:sz w:val="28"/>
                <w:lang w:eastAsia="en-US"/>
              </w:rPr>
            </w:pPr>
          </w:p>
        </w:tc>
        <w:tc>
          <w:tcPr>
            <w:tcW w:w="811" w:type="dxa"/>
          </w:tcPr>
          <w:p w14:paraId="525368A9">
            <w:pPr>
              <w:spacing w:line="360" w:lineRule="auto"/>
              <w:rPr>
                <w:rFonts w:hint="eastAsia" w:ascii="仿宋" w:hAnsi="仿宋" w:eastAsia="仿宋" w:cs="仿宋"/>
                <w:color w:val="auto"/>
                <w:sz w:val="28"/>
                <w:lang w:eastAsia="en-US"/>
              </w:rPr>
            </w:pPr>
          </w:p>
        </w:tc>
        <w:tc>
          <w:tcPr>
            <w:tcW w:w="1239" w:type="dxa"/>
          </w:tcPr>
          <w:p w14:paraId="64E30052">
            <w:pPr>
              <w:spacing w:line="360" w:lineRule="auto"/>
              <w:rPr>
                <w:rFonts w:hint="eastAsia" w:ascii="仿宋" w:hAnsi="仿宋" w:eastAsia="仿宋" w:cs="仿宋"/>
                <w:color w:val="auto"/>
                <w:sz w:val="28"/>
                <w:lang w:eastAsia="en-US"/>
              </w:rPr>
            </w:pPr>
          </w:p>
        </w:tc>
        <w:tc>
          <w:tcPr>
            <w:tcW w:w="1232" w:type="dxa"/>
          </w:tcPr>
          <w:p w14:paraId="73903D53">
            <w:pPr>
              <w:spacing w:line="360" w:lineRule="auto"/>
              <w:rPr>
                <w:rFonts w:hint="eastAsia" w:ascii="仿宋" w:hAnsi="仿宋" w:eastAsia="仿宋" w:cs="仿宋"/>
                <w:color w:val="auto"/>
                <w:sz w:val="28"/>
                <w:lang w:eastAsia="en-US"/>
              </w:rPr>
            </w:pPr>
          </w:p>
        </w:tc>
        <w:tc>
          <w:tcPr>
            <w:tcW w:w="743" w:type="dxa"/>
          </w:tcPr>
          <w:p w14:paraId="7F8D9CCC">
            <w:pPr>
              <w:spacing w:line="360" w:lineRule="auto"/>
              <w:rPr>
                <w:rFonts w:hint="eastAsia" w:ascii="仿宋" w:hAnsi="仿宋" w:eastAsia="仿宋" w:cs="仿宋"/>
                <w:color w:val="auto"/>
                <w:sz w:val="28"/>
                <w:lang w:eastAsia="en-US"/>
              </w:rPr>
            </w:pPr>
          </w:p>
        </w:tc>
        <w:tc>
          <w:tcPr>
            <w:tcW w:w="846" w:type="dxa"/>
          </w:tcPr>
          <w:p w14:paraId="76C543DA">
            <w:pPr>
              <w:spacing w:line="360" w:lineRule="auto"/>
              <w:rPr>
                <w:rFonts w:hint="eastAsia" w:ascii="仿宋" w:hAnsi="仿宋" w:eastAsia="仿宋" w:cs="仿宋"/>
                <w:color w:val="auto"/>
                <w:sz w:val="28"/>
                <w:lang w:eastAsia="en-US"/>
              </w:rPr>
            </w:pPr>
          </w:p>
        </w:tc>
        <w:tc>
          <w:tcPr>
            <w:tcW w:w="743" w:type="dxa"/>
          </w:tcPr>
          <w:p w14:paraId="08C90B3E">
            <w:pPr>
              <w:spacing w:line="360" w:lineRule="auto"/>
              <w:rPr>
                <w:rFonts w:hint="eastAsia" w:ascii="仿宋" w:hAnsi="仿宋" w:eastAsia="仿宋" w:cs="仿宋"/>
                <w:color w:val="auto"/>
                <w:sz w:val="28"/>
                <w:lang w:eastAsia="en-US"/>
              </w:rPr>
            </w:pPr>
          </w:p>
        </w:tc>
      </w:tr>
      <w:tr w14:paraId="63CF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vAlign w:val="center"/>
          </w:tcPr>
          <w:p w14:paraId="3EFE6BEE">
            <w:pPr>
              <w:spacing w:line="360" w:lineRule="auto"/>
              <w:jc w:val="center"/>
              <w:rPr>
                <w:rFonts w:hint="eastAsia" w:ascii="仿宋" w:hAnsi="仿宋" w:eastAsia="仿宋" w:cs="仿宋"/>
                <w:color w:val="auto"/>
                <w:sz w:val="22"/>
                <w:lang w:eastAsia="en-US"/>
              </w:rPr>
            </w:pPr>
          </w:p>
        </w:tc>
        <w:tc>
          <w:tcPr>
            <w:tcW w:w="810" w:type="dxa"/>
          </w:tcPr>
          <w:p w14:paraId="417F5969">
            <w:pPr>
              <w:spacing w:line="360" w:lineRule="auto"/>
              <w:rPr>
                <w:rFonts w:hint="eastAsia" w:ascii="仿宋" w:hAnsi="仿宋" w:eastAsia="仿宋" w:cs="仿宋"/>
                <w:color w:val="auto"/>
                <w:sz w:val="28"/>
                <w:lang w:eastAsia="en-US"/>
              </w:rPr>
            </w:pPr>
          </w:p>
        </w:tc>
        <w:tc>
          <w:tcPr>
            <w:tcW w:w="811" w:type="dxa"/>
          </w:tcPr>
          <w:p w14:paraId="4D95E3B7">
            <w:pPr>
              <w:spacing w:line="360" w:lineRule="auto"/>
              <w:rPr>
                <w:rFonts w:hint="eastAsia" w:ascii="仿宋" w:hAnsi="仿宋" w:eastAsia="仿宋" w:cs="仿宋"/>
                <w:color w:val="auto"/>
                <w:sz w:val="28"/>
                <w:lang w:eastAsia="en-US"/>
              </w:rPr>
            </w:pPr>
          </w:p>
        </w:tc>
        <w:tc>
          <w:tcPr>
            <w:tcW w:w="811" w:type="dxa"/>
          </w:tcPr>
          <w:p w14:paraId="0A4DC3C4">
            <w:pPr>
              <w:spacing w:line="360" w:lineRule="auto"/>
              <w:rPr>
                <w:rFonts w:hint="eastAsia" w:ascii="仿宋" w:hAnsi="仿宋" w:eastAsia="仿宋" w:cs="仿宋"/>
                <w:color w:val="auto"/>
                <w:sz w:val="28"/>
                <w:lang w:eastAsia="en-US"/>
              </w:rPr>
            </w:pPr>
          </w:p>
        </w:tc>
        <w:tc>
          <w:tcPr>
            <w:tcW w:w="1239" w:type="dxa"/>
          </w:tcPr>
          <w:p w14:paraId="645BF956">
            <w:pPr>
              <w:spacing w:line="360" w:lineRule="auto"/>
              <w:rPr>
                <w:rFonts w:hint="eastAsia" w:ascii="仿宋" w:hAnsi="仿宋" w:eastAsia="仿宋" w:cs="仿宋"/>
                <w:color w:val="auto"/>
                <w:sz w:val="28"/>
                <w:lang w:eastAsia="en-US"/>
              </w:rPr>
            </w:pPr>
          </w:p>
        </w:tc>
        <w:tc>
          <w:tcPr>
            <w:tcW w:w="1232" w:type="dxa"/>
          </w:tcPr>
          <w:p w14:paraId="37794EDB">
            <w:pPr>
              <w:spacing w:line="360" w:lineRule="auto"/>
              <w:rPr>
                <w:rFonts w:hint="eastAsia" w:ascii="仿宋" w:hAnsi="仿宋" w:eastAsia="仿宋" w:cs="仿宋"/>
                <w:color w:val="auto"/>
                <w:sz w:val="28"/>
                <w:lang w:eastAsia="en-US"/>
              </w:rPr>
            </w:pPr>
          </w:p>
        </w:tc>
        <w:tc>
          <w:tcPr>
            <w:tcW w:w="743" w:type="dxa"/>
          </w:tcPr>
          <w:p w14:paraId="43D2EFA4">
            <w:pPr>
              <w:spacing w:line="360" w:lineRule="auto"/>
              <w:rPr>
                <w:rFonts w:hint="eastAsia" w:ascii="仿宋" w:hAnsi="仿宋" w:eastAsia="仿宋" w:cs="仿宋"/>
                <w:color w:val="auto"/>
                <w:sz w:val="28"/>
                <w:lang w:eastAsia="en-US"/>
              </w:rPr>
            </w:pPr>
          </w:p>
        </w:tc>
        <w:tc>
          <w:tcPr>
            <w:tcW w:w="846" w:type="dxa"/>
          </w:tcPr>
          <w:p w14:paraId="0E403661">
            <w:pPr>
              <w:spacing w:line="360" w:lineRule="auto"/>
              <w:rPr>
                <w:rFonts w:hint="eastAsia" w:ascii="仿宋" w:hAnsi="仿宋" w:eastAsia="仿宋" w:cs="仿宋"/>
                <w:color w:val="auto"/>
                <w:sz w:val="28"/>
                <w:lang w:eastAsia="en-US"/>
              </w:rPr>
            </w:pPr>
          </w:p>
        </w:tc>
        <w:tc>
          <w:tcPr>
            <w:tcW w:w="743" w:type="dxa"/>
          </w:tcPr>
          <w:p w14:paraId="5072EBDF">
            <w:pPr>
              <w:spacing w:line="360" w:lineRule="auto"/>
              <w:rPr>
                <w:rFonts w:hint="eastAsia" w:ascii="仿宋" w:hAnsi="仿宋" w:eastAsia="仿宋" w:cs="仿宋"/>
                <w:color w:val="auto"/>
                <w:sz w:val="28"/>
                <w:lang w:eastAsia="en-US"/>
              </w:rPr>
            </w:pPr>
          </w:p>
        </w:tc>
      </w:tr>
      <w:tr w14:paraId="5384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32011A8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技</w:t>
            </w:r>
          </w:p>
          <w:p w14:paraId="6F63379B">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术</w:t>
            </w:r>
          </w:p>
          <w:p w14:paraId="4C59269A">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132AAE00">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员</w:t>
            </w:r>
          </w:p>
        </w:tc>
        <w:tc>
          <w:tcPr>
            <w:tcW w:w="810" w:type="dxa"/>
          </w:tcPr>
          <w:p w14:paraId="6761F77C">
            <w:pPr>
              <w:spacing w:line="360" w:lineRule="auto"/>
              <w:rPr>
                <w:rFonts w:hint="eastAsia" w:ascii="仿宋" w:hAnsi="仿宋" w:eastAsia="仿宋" w:cs="仿宋"/>
                <w:color w:val="auto"/>
                <w:sz w:val="28"/>
                <w:lang w:eastAsia="en-US"/>
              </w:rPr>
            </w:pPr>
          </w:p>
        </w:tc>
        <w:tc>
          <w:tcPr>
            <w:tcW w:w="811" w:type="dxa"/>
          </w:tcPr>
          <w:p w14:paraId="346046CF">
            <w:pPr>
              <w:spacing w:line="360" w:lineRule="auto"/>
              <w:rPr>
                <w:rFonts w:hint="eastAsia" w:ascii="仿宋" w:hAnsi="仿宋" w:eastAsia="仿宋" w:cs="仿宋"/>
                <w:color w:val="auto"/>
                <w:sz w:val="28"/>
                <w:lang w:eastAsia="en-US"/>
              </w:rPr>
            </w:pPr>
          </w:p>
        </w:tc>
        <w:tc>
          <w:tcPr>
            <w:tcW w:w="811" w:type="dxa"/>
          </w:tcPr>
          <w:p w14:paraId="6C894937">
            <w:pPr>
              <w:spacing w:line="360" w:lineRule="auto"/>
              <w:rPr>
                <w:rFonts w:hint="eastAsia" w:ascii="仿宋" w:hAnsi="仿宋" w:eastAsia="仿宋" w:cs="仿宋"/>
                <w:color w:val="auto"/>
                <w:sz w:val="28"/>
                <w:lang w:eastAsia="en-US"/>
              </w:rPr>
            </w:pPr>
          </w:p>
        </w:tc>
        <w:tc>
          <w:tcPr>
            <w:tcW w:w="1239" w:type="dxa"/>
          </w:tcPr>
          <w:p w14:paraId="69CAB0E6">
            <w:pPr>
              <w:spacing w:line="360" w:lineRule="auto"/>
              <w:rPr>
                <w:rFonts w:hint="eastAsia" w:ascii="仿宋" w:hAnsi="仿宋" w:eastAsia="仿宋" w:cs="仿宋"/>
                <w:color w:val="auto"/>
                <w:sz w:val="28"/>
                <w:lang w:eastAsia="en-US"/>
              </w:rPr>
            </w:pPr>
          </w:p>
        </w:tc>
        <w:tc>
          <w:tcPr>
            <w:tcW w:w="1232" w:type="dxa"/>
          </w:tcPr>
          <w:p w14:paraId="1FF15361">
            <w:pPr>
              <w:spacing w:line="360" w:lineRule="auto"/>
              <w:rPr>
                <w:rFonts w:hint="eastAsia" w:ascii="仿宋" w:hAnsi="仿宋" w:eastAsia="仿宋" w:cs="仿宋"/>
                <w:color w:val="auto"/>
                <w:sz w:val="28"/>
                <w:lang w:eastAsia="en-US"/>
              </w:rPr>
            </w:pPr>
          </w:p>
        </w:tc>
        <w:tc>
          <w:tcPr>
            <w:tcW w:w="743" w:type="dxa"/>
          </w:tcPr>
          <w:p w14:paraId="08187254">
            <w:pPr>
              <w:spacing w:line="360" w:lineRule="auto"/>
              <w:rPr>
                <w:rFonts w:hint="eastAsia" w:ascii="仿宋" w:hAnsi="仿宋" w:eastAsia="仿宋" w:cs="仿宋"/>
                <w:color w:val="auto"/>
                <w:sz w:val="28"/>
                <w:lang w:eastAsia="en-US"/>
              </w:rPr>
            </w:pPr>
          </w:p>
        </w:tc>
        <w:tc>
          <w:tcPr>
            <w:tcW w:w="846" w:type="dxa"/>
          </w:tcPr>
          <w:p w14:paraId="2CE6BBEF">
            <w:pPr>
              <w:spacing w:line="360" w:lineRule="auto"/>
              <w:rPr>
                <w:rFonts w:hint="eastAsia" w:ascii="仿宋" w:hAnsi="仿宋" w:eastAsia="仿宋" w:cs="仿宋"/>
                <w:color w:val="auto"/>
                <w:sz w:val="28"/>
                <w:lang w:eastAsia="en-US"/>
              </w:rPr>
            </w:pPr>
          </w:p>
        </w:tc>
        <w:tc>
          <w:tcPr>
            <w:tcW w:w="743" w:type="dxa"/>
          </w:tcPr>
          <w:p w14:paraId="2AC49B3D">
            <w:pPr>
              <w:spacing w:line="360" w:lineRule="auto"/>
              <w:rPr>
                <w:rFonts w:hint="eastAsia" w:ascii="仿宋" w:hAnsi="仿宋" w:eastAsia="仿宋" w:cs="仿宋"/>
                <w:color w:val="auto"/>
                <w:sz w:val="28"/>
                <w:lang w:eastAsia="en-US"/>
              </w:rPr>
            </w:pPr>
          </w:p>
        </w:tc>
      </w:tr>
      <w:tr w14:paraId="315F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1340650F">
            <w:pPr>
              <w:spacing w:line="360" w:lineRule="auto"/>
              <w:rPr>
                <w:rFonts w:hint="eastAsia" w:ascii="仿宋" w:hAnsi="仿宋" w:eastAsia="仿宋" w:cs="仿宋"/>
                <w:color w:val="auto"/>
                <w:sz w:val="22"/>
                <w:lang w:eastAsia="en-US"/>
              </w:rPr>
            </w:pPr>
          </w:p>
        </w:tc>
        <w:tc>
          <w:tcPr>
            <w:tcW w:w="810" w:type="dxa"/>
          </w:tcPr>
          <w:p w14:paraId="2871A02E">
            <w:pPr>
              <w:spacing w:line="360" w:lineRule="auto"/>
              <w:rPr>
                <w:rFonts w:hint="eastAsia" w:ascii="仿宋" w:hAnsi="仿宋" w:eastAsia="仿宋" w:cs="仿宋"/>
                <w:color w:val="auto"/>
                <w:sz w:val="28"/>
                <w:lang w:eastAsia="en-US"/>
              </w:rPr>
            </w:pPr>
          </w:p>
        </w:tc>
        <w:tc>
          <w:tcPr>
            <w:tcW w:w="811" w:type="dxa"/>
          </w:tcPr>
          <w:p w14:paraId="2A1AD33D">
            <w:pPr>
              <w:spacing w:line="360" w:lineRule="auto"/>
              <w:rPr>
                <w:rFonts w:hint="eastAsia" w:ascii="仿宋" w:hAnsi="仿宋" w:eastAsia="仿宋" w:cs="仿宋"/>
                <w:color w:val="auto"/>
                <w:sz w:val="28"/>
                <w:lang w:eastAsia="en-US"/>
              </w:rPr>
            </w:pPr>
          </w:p>
        </w:tc>
        <w:tc>
          <w:tcPr>
            <w:tcW w:w="811" w:type="dxa"/>
          </w:tcPr>
          <w:p w14:paraId="62268C6C">
            <w:pPr>
              <w:spacing w:line="360" w:lineRule="auto"/>
              <w:rPr>
                <w:rFonts w:hint="eastAsia" w:ascii="仿宋" w:hAnsi="仿宋" w:eastAsia="仿宋" w:cs="仿宋"/>
                <w:color w:val="auto"/>
                <w:sz w:val="28"/>
                <w:lang w:eastAsia="en-US"/>
              </w:rPr>
            </w:pPr>
          </w:p>
        </w:tc>
        <w:tc>
          <w:tcPr>
            <w:tcW w:w="1239" w:type="dxa"/>
          </w:tcPr>
          <w:p w14:paraId="7BE5ED16">
            <w:pPr>
              <w:spacing w:line="360" w:lineRule="auto"/>
              <w:rPr>
                <w:rFonts w:hint="eastAsia" w:ascii="仿宋" w:hAnsi="仿宋" w:eastAsia="仿宋" w:cs="仿宋"/>
                <w:color w:val="auto"/>
                <w:sz w:val="28"/>
                <w:lang w:eastAsia="en-US"/>
              </w:rPr>
            </w:pPr>
          </w:p>
        </w:tc>
        <w:tc>
          <w:tcPr>
            <w:tcW w:w="1232" w:type="dxa"/>
          </w:tcPr>
          <w:p w14:paraId="3EC56DBD">
            <w:pPr>
              <w:spacing w:line="360" w:lineRule="auto"/>
              <w:rPr>
                <w:rFonts w:hint="eastAsia" w:ascii="仿宋" w:hAnsi="仿宋" w:eastAsia="仿宋" w:cs="仿宋"/>
                <w:color w:val="auto"/>
                <w:sz w:val="28"/>
                <w:lang w:eastAsia="en-US"/>
              </w:rPr>
            </w:pPr>
          </w:p>
        </w:tc>
        <w:tc>
          <w:tcPr>
            <w:tcW w:w="743" w:type="dxa"/>
          </w:tcPr>
          <w:p w14:paraId="370FB22B">
            <w:pPr>
              <w:spacing w:line="360" w:lineRule="auto"/>
              <w:rPr>
                <w:rFonts w:hint="eastAsia" w:ascii="仿宋" w:hAnsi="仿宋" w:eastAsia="仿宋" w:cs="仿宋"/>
                <w:color w:val="auto"/>
                <w:sz w:val="28"/>
                <w:lang w:eastAsia="en-US"/>
              </w:rPr>
            </w:pPr>
          </w:p>
        </w:tc>
        <w:tc>
          <w:tcPr>
            <w:tcW w:w="846" w:type="dxa"/>
          </w:tcPr>
          <w:p w14:paraId="7032F289">
            <w:pPr>
              <w:spacing w:line="360" w:lineRule="auto"/>
              <w:rPr>
                <w:rFonts w:hint="eastAsia" w:ascii="仿宋" w:hAnsi="仿宋" w:eastAsia="仿宋" w:cs="仿宋"/>
                <w:color w:val="auto"/>
                <w:sz w:val="28"/>
                <w:lang w:eastAsia="en-US"/>
              </w:rPr>
            </w:pPr>
          </w:p>
        </w:tc>
        <w:tc>
          <w:tcPr>
            <w:tcW w:w="743" w:type="dxa"/>
          </w:tcPr>
          <w:p w14:paraId="6D8F6695">
            <w:pPr>
              <w:spacing w:line="360" w:lineRule="auto"/>
              <w:rPr>
                <w:rFonts w:hint="eastAsia" w:ascii="仿宋" w:hAnsi="仿宋" w:eastAsia="仿宋" w:cs="仿宋"/>
                <w:color w:val="auto"/>
                <w:sz w:val="28"/>
                <w:lang w:eastAsia="en-US"/>
              </w:rPr>
            </w:pPr>
          </w:p>
        </w:tc>
      </w:tr>
      <w:tr w14:paraId="202F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2E94DEF2">
            <w:pPr>
              <w:spacing w:line="360" w:lineRule="auto"/>
              <w:rPr>
                <w:rFonts w:hint="eastAsia" w:ascii="仿宋" w:hAnsi="仿宋" w:eastAsia="仿宋" w:cs="仿宋"/>
                <w:color w:val="auto"/>
                <w:sz w:val="22"/>
                <w:lang w:eastAsia="en-US"/>
              </w:rPr>
            </w:pPr>
          </w:p>
        </w:tc>
        <w:tc>
          <w:tcPr>
            <w:tcW w:w="810" w:type="dxa"/>
          </w:tcPr>
          <w:p w14:paraId="2039A868">
            <w:pPr>
              <w:spacing w:line="360" w:lineRule="auto"/>
              <w:rPr>
                <w:rFonts w:hint="eastAsia" w:ascii="仿宋" w:hAnsi="仿宋" w:eastAsia="仿宋" w:cs="仿宋"/>
                <w:color w:val="auto"/>
                <w:sz w:val="28"/>
                <w:lang w:eastAsia="en-US"/>
              </w:rPr>
            </w:pPr>
          </w:p>
        </w:tc>
        <w:tc>
          <w:tcPr>
            <w:tcW w:w="811" w:type="dxa"/>
          </w:tcPr>
          <w:p w14:paraId="5EFE63FD">
            <w:pPr>
              <w:spacing w:line="360" w:lineRule="auto"/>
              <w:rPr>
                <w:rFonts w:hint="eastAsia" w:ascii="仿宋" w:hAnsi="仿宋" w:eastAsia="仿宋" w:cs="仿宋"/>
                <w:color w:val="auto"/>
                <w:sz w:val="28"/>
                <w:lang w:eastAsia="en-US"/>
              </w:rPr>
            </w:pPr>
          </w:p>
        </w:tc>
        <w:tc>
          <w:tcPr>
            <w:tcW w:w="811" w:type="dxa"/>
          </w:tcPr>
          <w:p w14:paraId="604EC251">
            <w:pPr>
              <w:spacing w:line="360" w:lineRule="auto"/>
              <w:rPr>
                <w:rFonts w:hint="eastAsia" w:ascii="仿宋" w:hAnsi="仿宋" w:eastAsia="仿宋" w:cs="仿宋"/>
                <w:color w:val="auto"/>
                <w:sz w:val="28"/>
                <w:lang w:eastAsia="en-US"/>
              </w:rPr>
            </w:pPr>
          </w:p>
        </w:tc>
        <w:tc>
          <w:tcPr>
            <w:tcW w:w="1239" w:type="dxa"/>
          </w:tcPr>
          <w:p w14:paraId="48817C5C">
            <w:pPr>
              <w:spacing w:line="360" w:lineRule="auto"/>
              <w:rPr>
                <w:rFonts w:hint="eastAsia" w:ascii="仿宋" w:hAnsi="仿宋" w:eastAsia="仿宋" w:cs="仿宋"/>
                <w:color w:val="auto"/>
                <w:sz w:val="28"/>
                <w:lang w:eastAsia="en-US"/>
              </w:rPr>
            </w:pPr>
          </w:p>
        </w:tc>
        <w:tc>
          <w:tcPr>
            <w:tcW w:w="1232" w:type="dxa"/>
          </w:tcPr>
          <w:p w14:paraId="2A8CB495">
            <w:pPr>
              <w:spacing w:line="360" w:lineRule="auto"/>
              <w:rPr>
                <w:rFonts w:hint="eastAsia" w:ascii="仿宋" w:hAnsi="仿宋" w:eastAsia="仿宋" w:cs="仿宋"/>
                <w:color w:val="auto"/>
                <w:sz w:val="28"/>
                <w:lang w:eastAsia="en-US"/>
              </w:rPr>
            </w:pPr>
          </w:p>
        </w:tc>
        <w:tc>
          <w:tcPr>
            <w:tcW w:w="743" w:type="dxa"/>
          </w:tcPr>
          <w:p w14:paraId="72F885D4">
            <w:pPr>
              <w:spacing w:line="360" w:lineRule="auto"/>
              <w:rPr>
                <w:rFonts w:hint="eastAsia" w:ascii="仿宋" w:hAnsi="仿宋" w:eastAsia="仿宋" w:cs="仿宋"/>
                <w:color w:val="auto"/>
                <w:sz w:val="28"/>
                <w:lang w:eastAsia="en-US"/>
              </w:rPr>
            </w:pPr>
          </w:p>
        </w:tc>
        <w:tc>
          <w:tcPr>
            <w:tcW w:w="846" w:type="dxa"/>
          </w:tcPr>
          <w:p w14:paraId="4332FDB7">
            <w:pPr>
              <w:spacing w:line="360" w:lineRule="auto"/>
              <w:rPr>
                <w:rFonts w:hint="eastAsia" w:ascii="仿宋" w:hAnsi="仿宋" w:eastAsia="仿宋" w:cs="仿宋"/>
                <w:color w:val="auto"/>
                <w:sz w:val="28"/>
                <w:lang w:eastAsia="en-US"/>
              </w:rPr>
            </w:pPr>
          </w:p>
        </w:tc>
        <w:tc>
          <w:tcPr>
            <w:tcW w:w="743" w:type="dxa"/>
          </w:tcPr>
          <w:p w14:paraId="163C3E4F">
            <w:pPr>
              <w:spacing w:line="360" w:lineRule="auto"/>
              <w:rPr>
                <w:rFonts w:hint="eastAsia" w:ascii="仿宋" w:hAnsi="仿宋" w:eastAsia="仿宋" w:cs="仿宋"/>
                <w:color w:val="auto"/>
                <w:sz w:val="28"/>
                <w:lang w:eastAsia="en-US"/>
              </w:rPr>
            </w:pPr>
          </w:p>
        </w:tc>
      </w:tr>
      <w:tr w14:paraId="21CD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4935F864">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售后</w:t>
            </w:r>
          </w:p>
          <w:p w14:paraId="3686E0C2">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服务</w:t>
            </w:r>
          </w:p>
          <w:p w14:paraId="6F69307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人员</w:t>
            </w:r>
          </w:p>
        </w:tc>
        <w:tc>
          <w:tcPr>
            <w:tcW w:w="810" w:type="dxa"/>
          </w:tcPr>
          <w:p w14:paraId="31744135">
            <w:pPr>
              <w:spacing w:line="360" w:lineRule="auto"/>
              <w:rPr>
                <w:rFonts w:hint="eastAsia" w:ascii="仿宋" w:hAnsi="仿宋" w:eastAsia="仿宋" w:cs="仿宋"/>
                <w:color w:val="auto"/>
                <w:sz w:val="28"/>
                <w:lang w:eastAsia="en-US"/>
              </w:rPr>
            </w:pPr>
          </w:p>
        </w:tc>
        <w:tc>
          <w:tcPr>
            <w:tcW w:w="811" w:type="dxa"/>
          </w:tcPr>
          <w:p w14:paraId="53F6664B">
            <w:pPr>
              <w:spacing w:line="360" w:lineRule="auto"/>
              <w:rPr>
                <w:rFonts w:hint="eastAsia" w:ascii="仿宋" w:hAnsi="仿宋" w:eastAsia="仿宋" w:cs="仿宋"/>
                <w:color w:val="auto"/>
                <w:sz w:val="28"/>
                <w:lang w:eastAsia="en-US"/>
              </w:rPr>
            </w:pPr>
          </w:p>
        </w:tc>
        <w:tc>
          <w:tcPr>
            <w:tcW w:w="811" w:type="dxa"/>
          </w:tcPr>
          <w:p w14:paraId="2EBF357F">
            <w:pPr>
              <w:spacing w:line="360" w:lineRule="auto"/>
              <w:rPr>
                <w:rFonts w:hint="eastAsia" w:ascii="仿宋" w:hAnsi="仿宋" w:eastAsia="仿宋" w:cs="仿宋"/>
                <w:color w:val="auto"/>
                <w:sz w:val="28"/>
                <w:lang w:eastAsia="en-US"/>
              </w:rPr>
            </w:pPr>
          </w:p>
        </w:tc>
        <w:tc>
          <w:tcPr>
            <w:tcW w:w="1239" w:type="dxa"/>
          </w:tcPr>
          <w:p w14:paraId="78741257">
            <w:pPr>
              <w:spacing w:line="360" w:lineRule="auto"/>
              <w:rPr>
                <w:rFonts w:hint="eastAsia" w:ascii="仿宋" w:hAnsi="仿宋" w:eastAsia="仿宋" w:cs="仿宋"/>
                <w:color w:val="auto"/>
                <w:sz w:val="28"/>
                <w:lang w:eastAsia="en-US"/>
              </w:rPr>
            </w:pPr>
          </w:p>
        </w:tc>
        <w:tc>
          <w:tcPr>
            <w:tcW w:w="1232" w:type="dxa"/>
          </w:tcPr>
          <w:p w14:paraId="17F07F35">
            <w:pPr>
              <w:spacing w:line="360" w:lineRule="auto"/>
              <w:rPr>
                <w:rFonts w:hint="eastAsia" w:ascii="仿宋" w:hAnsi="仿宋" w:eastAsia="仿宋" w:cs="仿宋"/>
                <w:color w:val="auto"/>
                <w:sz w:val="28"/>
                <w:lang w:eastAsia="en-US"/>
              </w:rPr>
            </w:pPr>
          </w:p>
        </w:tc>
        <w:tc>
          <w:tcPr>
            <w:tcW w:w="743" w:type="dxa"/>
          </w:tcPr>
          <w:p w14:paraId="004CC171">
            <w:pPr>
              <w:spacing w:line="360" w:lineRule="auto"/>
              <w:rPr>
                <w:rFonts w:hint="eastAsia" w:ascii="仿宋" w:hAnsi="仿宋" w:eastAsia="仿宋" w:cs="仿宋"/>
                <w:color w:val="auto"/>
                <w:sz w:val="28"/>
                <w:lang w:eastAsia="en-US"/>
              </w:rPr>
            </w:pPr>
          </w:p>
        </w:tc>
        <w:tc>
          <w:tcPr>
            <w:tcW w:w="846" w:type="dxa"/>
          </w:tcPr>
          <w:p w14:paraId="1BA5AD79">
            <w:pPr>
              <w:spacing w:line="360" w:lineRule="auto"/>
              <w:rPr>
                <w:rFonts w:hint="eastAsia" w:ascii="仿宋" w:hAnsi="仿宋" w:eastAsia="仿宋" w:cs="仿宋"/>
                <w:color w:val="auto"/>
                <w:sz w:val="28"/>
                <w:lang w:eastAsia="en-US"/>
              </w:rPr>
            </w:pPr>
          </w:p>
        </w:tc>
        <w:tc>
          <w:tcPr>
            <w:tcW w:w="743" w:type="dxa"/>
          </w:tcPr>
          <w:p w14:paraId="3DFCAEE2">
            <w:pPr>
              <w:spacing w:line="360" w:lineRule="auto"/>
              <w:rPr>
                <w:rFonts w:hint="eastAsia" w:ascii="仿宋" w:hAnsi="仿宋" w:eastAsia="仿宋" w:cs="仿宋"/>
                <w:color w:val="auto"/>
                <w:sz w:val="28"/>
                <w:lang w:eastAsia="en-US"/>
              </w:rPr>
            </w:pPr>
          </w:p>
        </w:tc>
      </w:tr>
      <w:tr w14:paraId="2A94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75A0D789">
            <w:pPr>
              <w:spacing w:line="360" w:lineRule="auto"/>
              <w:rPr>
                <w:rFonts w:hint="eastAsia" w:ascii="仿宋" w:hAnsi="仿宋" w:eastAsia="仿宋" w:cs="仿宋"/>
                <w:color w:val="auto"/>
                <w:sz w:val="22"/>
                <w:lang w:eastAsia="en-US"/>
              </w:rPr>
            </w:pPr>
          </w:p>
        </w:tc>
        <w:tc>
          <w:tcPr>
            <w:tcW w:w="810" w:type="dxa"/>
          </w:tcPr>
          <w:p w14:paraId="3679A7FE">
            <w:pPr>
              <w:spacing w:line="360" w:lineRule="auto"/>
              <w:rPr>
                <w:rFonts w:hint="eastAsia" w:ascii="仿宋" w:hAnsi="仿宋" w:eastAsia="仿宋" w:cs="仿宋"/>
                <w:color w:val="auto"/>
                <w:sz w:val="28"/>
                <w:lang w:eastAsia="en-US"/>
              </w:rPr>
            </w:pPr>
          </w:p>
        </w:tc>
        <w:tc>
          <w:tcPr>
            <w:tcW w:w="811" w:type="dxa"/>
          </w:tcPr>
          <w:p w14:paraId="742E939C">
            <w:pPr>
              <w:spacing w:line="360" w:lineRule="auto"/>
              <w:rPr>
                <w:rFonts w:hint="eastAsia" w:ascii="仿宋" w:hAnsi="仿宋" w:eastAsia="仿宋" w:cs="仿宋"/>
                <w:bCs/>
                <w:color w:val="auto"/>
                <w:sz w:val="28"/>
                <w:lang w:eastAsia="en-US"/>
              </w:rPr>
            </w:pPr>
          </w:p>
        </w:tc>
        <w:tc>
          <w:tcPr>
            <w:tcW w:w="811" w:type="dxa"/>
          </w:tcPr>
          <w:p w14:paraId="39E1CDCB">
            <w:pPr>
              <w:spacing w:line="360" w:lineRule="auto"/>
              <w:rPr>
                <w:rFonts w:hint="eastAsia" w:ascii="仿宋" w:hAnsi="仿宋" w:eastAsia="仿宋" w:cs="仿宋"/>
                <w:bCs/>
                <w:color w:val="auto"/>
                <w:sz w:val="28"/>
                <w:lang w:eastAsia="en-US"/>
              </w:rPr>
            </w:pPr>
          </w:p>
        </w:tc>
        <w:tc>
          <w:tcPr>
            <w:tcW w:w="1239" w:type="dxa"/>
          </w:tcPr>
          <w:p w14:paraId="26A0C3FB">
            <w:pPr>
              <w:spacing w:line="360" w:lineRule="auto"/>
              <w:rPr>
                <w:rFonts w:hint="eastAsia" w:ascii="仿宋" w:hAnsi="仿宋" w:eastAsia="仿宋" w:cs="仿宋"/>
                <w:bCs/>
                <w:color w:val="auto"/>
                <w:sz w:val="28"/>
                <w:lang w:eastAsia="en-US"/>
              </w:rPr>
            </w:pPr>
          </w:p>
        </w:tc>
        <w:tc>
          <w:tcPr>
            <w:tcW w:w="1232" w:type="dxa"/>
          </w:tcPr>
          <w:p w14:paraId="008B48DB">
            <w:pPr>
              <w:spacing w:line="360" w:lineRule="auto"/>
              <w:rPr>
                <w:rFonts w:hint="eastAsia" w:ascii="仿宋" w:hAnsi="仿宋" w:eastAsia="仿宋" w:cs="仿宋"/>
                <w:bCs/>
                <w:color w:val="auto"/>
                <w:sz w:val="28"/>
                <w:lang w:eastAsia="en-US"/>
              </w:rPr>
            </w:pPr>
          </w:p>
        </w:tc>
        <w:tc>
          <w:tcPr>
            <w:tcW w:w="743" w:type="dxa"/>
          </w:tcPr>
          <w:p w14:paraId="7A76B6C6">
            <w:pPr>
              <w:spacing w:line="360" w:lineRule="auto"/>
              <w:rPr>
                <w:rFonts w:hint="eastAsia" w:ascii="仿宋" w:hAnsi="仿宋" w:eastAsia="仿宋" w:cs="仿宋"/>
                <w:bCs/>
                <w:color w:val="auto"/>
                <w:sz w:val="28"/>
                <w:lang w:eastAsia="en-US"/>
              </w:rPr>
            </w:pPr>
          </w:p>
        </w:tc>
        <w:tc>
          <w:tcPr>
            <w:tcW w:w="846" w:type="dxa"/>
          </w:tcPr>
          <w:p w14:paraId="374EB322">
            <w:pPr>
              <w:spacing w:line="360" w:lineRule="auto"/>
              <w:rPr>
                <w:rFonts w:hint="eastAsia" w:ascii="仿宋" w:hAnsi="仿宋" w:eastAsia="仿宋" w:cs="仿宋"/>
                <w:bCs/>
                <w:color w:val="auto"/>
                <w:sz w:val="28"/>
                <w:lang w:eastAsia="en-US"/>
              </w:rPr>
            </w:pPr>
          </w:p>
        </w:tc>
        <w:tc>
          <w:tcPr>
            <w:tcW w:w="743" w:type="dxa"/>
          </w:tcPr>
          <w:p w14:paraId="613ADF44">
            <w:pPr>
              <w:spacing w:line="360" w:lineRule="auto"/>
              <w:rPr>
                <w:rFonts w:hint="eastAsia" w:ascii="仿宋" w:hAnsi="仿宋" w:eastAsia="仿宋" w:cs="仿宋"/>
                <w:bCs/>
                <w:color w:val="auto"/>
                <w:sz w:val="28"/>
                <w:lang w:eastAsia="en-US"/>
              </w:rPr>
            </w:pPr>
          </w:p>
        </w:tc>
      </w:tr>
      <w:tr w14:paraId="0488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0C7F432E">
            <w:pPr>
              <w:spacing w:line="360" w:lineRule="auto"/>
              <w:rPr>
                <w:rFonts w:hint="eastAsia" w:ascii="仿宋" w:hAnsi="仿宋" w:eastAsia="仿宋" w:cs="仿宋"/>
                <w:color w:val="auto"/>
                <w:sz w:val="22"/>
                <w:lang w:eastAsia="en-US"/>
              </w:rPr>
            </w:pPr>
          </w:p>
        </w:tc>
        <w:tc>
          <w:tcPr>
            <w:tcW w:w="810" w:type="dxa"/>
          </w:tcPr>
          <w:p w14:paraId="0940FB67">
            <w:pPr>
              <w:spacing w:line="360" w:lineRule="auto"/>
              <w:rPr>
                <w:rFonts w:hint="eastAsia" w:ascii="仿宋" w:hAnsi="仿宋" w:eastAsia="仿宋" w:cs="仿宋"/>
                <w:color w:val="auto"/>
                <w:sz w:val="28"/>
                <w:lang w:eastAsia="en-US"/>
              </w:rPr>
            </w:pPr>
          </w:p>
        </w:tc>
        <w:tc>
          <w:tcPr>
            <w:tcW w:w="811" w:type="dxa"/>
          </w:tcPr>
          <w:p w14:paraId="1CF96108">
            <w:pPr>
              <w:spacing w:line="360" w:lineRule="auto"/>
              <w:rPr>
                <w:rFonts w:hint="eastAsia" w:ascii="仿宋" w:hAnsi="仿宋" w:eastAsia="仿宋" w:cs="仿宋"/>
                <w:bCs/>
                <w:color w:val="auto"/>
                <w:sz w:val="28"/>
                <w:lang w:eastAsia="en-US"/>
              </w:rPr>
            </w:pPr>
          </w:p>
        </w:tc>
        <w:tc>
          <w:tcPr>
            <w:tcW w:w="811" w:type="dxa"/>
          </w:tcPr>
          <w:p w14:paraId="260C35BE">
            <w:pPr>
              <w:spacing w:line="360" w:lineRule="auto"/>
              <w:rPr>
                <w:rFonts w:hint="eastAsia" w:ascii="仿宋" w:hAnsi="仿宋" w:eastAsia="仿宋" w:cs="仿宋"/>
                <w:bCs/>
                <w:color w:val="auto"/>
                <w:sz w:val="28"/>
                <w:lang w:eastAsia="en-US"/>
              </w:rPr>
            </w:pPr>
          </w:p>
        </w:tc>
        <w:tc>
          <w:tcPr>
            <w:tcW w:w="1239" w:type="dxa"/>
          </w:tcPr>
          <w:p w14:paraId="3D767897">
            <w:pPr>
              <w:spacing w:line="360" w:lineRule="auto"/>
              <w:rPr>
                <w:rFonts w:hint="eastAsia" w:ascii="仿宋" w:hAnsi="仿宋" w:eastAsia="仿宋" w:cs="仿宋"/>
                <w:bCs/>
                <w:color w:val="auto"/>
                <w:sz w:val="28"/>
                <w:lang w:eastAsia="en-US"/>
              </w:rPr>
            </w:pPr>
          </w:p>
        </w:tc>
        <w:tc>
          <w:tcPr>
            <w:tcW w:w="1232" w:type="dxa"/>
          </w:tcPr>
          <w:p w14:paraId="04FD0609">
            <w:pPr>
              <w:spacing w:line="360" w:lineRule="auto"/>
              <w:rPr>
                <w:rFonts w:hint="eastAsia" w:ascii="仿宋" w:hAnsi="仿宋" w:eastAsia="仿宋" w:cs="仿宋"/>
                <w:bCs/>
                <w:color w:val="auto"/>
                <w:sz w:val="28"/>
                <w:lang w:eastAsia="en-US"/>
              </w:rPr>
            </w:pPr>
          </w:p>
        </w:tc>
        <w:tc>
          <w:tcPr>
            <w:tcW w:w="743" w:type="dxa"/>
          </w:tcPr>
          <w:p w14:paraId="79DD3E30">
            <w:pPr>
              <w:spacing w:line="360" w:lineRule="auto"/>
              <w:rPr>
                <w:rFonts w:hint="eastAsia" w:ascii="仿宋" w:hAnsi="仿宋" w:eastAsia="仿宋" w:cs="仿宋"/>
                <w:bCs/>
                <w:color w:val="auto"/>
                <w:sz w:val="28"/>
                <w:lang w:eastAsia="en-US"/>
              </w:rPr>
            </w:pPr>
          </w:p>
        </w:tc>
        <w:tc>
          <w:tcPr>
            <w:tcW w:w="846" w:type="dxa"/>
          </w:tcPr>
          <w:p w14:paraId="37A7BD1C">
            <w:pPr>
              <w:spacing w:line="360" w:lineRule="auto"/>
              <w:rPr>
                <w:rFonts w:hint="eastAsia" w:ascii="仿宋" w:hAnsi="仿宋" w:eastAsia="仿宋" w:cs="仿宋"/>
                <w:bCs/>
                <w:color w:val="auto"/>
                <w:sz w:val="28"/>
                <w:lang w:eastAsia="en-US"/>
              </w:rPr>
            </w:pPr>
          </w:p>
        </w:tc>
        <w:tc>
          <w:tcPr>
            <w:tcW w:w="743" w:type="dxa"/>
          </w:tcPr>
          <w:p w14:paraId="390EB6CF">
            <w:pPr>
              <w:spacing w:line="360" w:lineRule="auto"/>
              <w:rPr>
                <w:rFonts w:hint="eastAsia" w:ascii="仿宋" w:hAnsi="仿宋" w:eastAsia="仿宋" w:cs="仿宋"/>
                <w:bCs/>
                <w:color w:val="auto"/>
                <w:sz w:val="28"/>
                <w:lang w:eastAsia="en-US"/>
              </w:rPr>
            </w:pPr>
          </w:p>
        </w:tc>
      </w:tr>
    </w:tbl>
    <w:p w14:paraId="70DAD09A">
      <w:pPr>
        <w:wordWrap w:val="0"/>
        <w:spacing w:line="360" w:lineRule="auto"/>
        <w:jc w:val="left"/>
        <w:rPr>
          <w:rFonts w:hint="eastAsia" w:ascii="仿宋" w:hAnsi="仿宋" w:eastAsia="仿宋" w:cs="仿宋"/>
          <w:b/>
          <w:color w:val="auto"/>
          <w:sz w:val="32"/>
          <w:szCs w:val="32"/>
        </w:rPr>
      </w:pPr>
    </w:p>
    <w:p w14:paraId="1581A187">
      <w:pPr>
        <w:pStyle w:val="2"/>
        <w:rPr>
          <w:rFonts w:hint="eastAsia" w:ascii="仿宋" w:hAnsi="仿宋" w:eastAsia="仿宋" w:cs="仿宋"/>
          <w:color w:val="auto"/>
        </w:rPr>
      </w:pPr>
      <w:r>
        <w:rPr>
          <w:rFonts w:hint="eastAsia" w:ascii="仿宋" w:hAnsi="仿宋" w:eastAsia="仿宋" w:cs="仿宋"/>
          <w:b/>
          <w:bCs/>
          <w:color w:val="auto"/>
          <w:kern w:val="0"/>
          <w:szCs w:val="21"/>
        </w:rPr>
        <w:t>注：提供有效内的相关证书证明材料加盖供应商鲜章；</w:t>
      </w:r>
    </w:p>
    <w:p w14:paraId="291E7C01">
      <w:pPr>
        <w:wordWrap w:val="0"/>
        <w:spacing w:line="360" w:lineRule="auto"/>
        <w:jc w:val="left"/>
        <w:rPr>
          <w:rFonts w:hint="eastAsia" w:ascii="仿宋" w:hAnsi="仿宋" w:eastAsia="仿宋" w:cs="仿宋"/>
          <w:color w:val="auto"/>
          <w:sz w:val="24"/>
        </w:rPr>
      </w:pPr>
    </w:p>
    <w:p w14:paraId="1188028A">
      <w:pPr>
        <w:wordWrap w:val="0"/>
        <w:spacing w:line="360" w:lineRule="auto"/>
        <w:jc w:val="left"/>
        <w:rPr>
          <w:rFonts w:hint="eastAsia" w:ascii="仿宋" w:hAnsi="仿宋" w:eastAsia="仿宋" w:cs="仿宋"/>
          <w:color w:val="auto"/>
          <w:sz w:val="24"/>
        </w:rPr>
      </w:pPr>
    </w:p>
    <w:p w14:paraId="29D6293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17F929C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CC5AE75">
      <w:pPr>
        <w:wordWrap w:val="0"/>
        <w:spacing w:line="360" w:lineRule="auto"/>
        <w:jc w:val="left"/>
        <w:rPr>
          <w:rFonts w:hint="eastAsia" w:ascii="仿宋" w:hAnsi="仿宋" w:eastAsia="仿宋" w:cs="仿宋"/>
          <w:color w:val="auto"/>
          <w:sz w:val="24"/>
          <w:lang w:eastAsia="en-US"/>
        </w:rPr>
      </w:pPr>
      <w:r>
        <w:rPr>
          <w:rFonts w:hint="eastAsia" w:ascii="仿宋" w:hAnsi="仿宋" w:eastAsia="仿宋" w:cs="仿宋"/>
          <w:color w:val="auto"/>
          <w:sz w:val="24"/>
          <w:lang w:eastAsia="en-US"/>
        </w:rPr>
        <w:t>日期：</w:t>
      </w:r>
    </w:p>
    <w:p w14:paraId="56C2AA8D">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lang w:eastAsia="en-US"/>
        </w:rPr>
        <w:br w:type="page"/>
      </w:r>
      <w:r>
        <w:rPr>
          <w:rFonts w:hint="eastAsia" w:ascii="仿宋" w:hAnsi="仿宋" w:eastAsia="仿宋" w:cs="仿宋"/>
          <w:b/>
          <w:color w:val="auto"/>
          <w:sz w:val="32"/>
          <w:szCs w:val="32"/>
        </w:rPr>
        <w:t>格式2-5</w:t>
      </w:r>
    </w:p>
    <w:p w14:paraId="0515BA38">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28" w:name="_Toc500158952"/>
      <w:bookmarkEnd w:id="28"/>
      <w:r>
        <w:rPr>
          <w:rFonts w:hint="eastAsia" w:ascii="仿宋" w:hAnsi="仿宋" w:eastAsia="仿宋" w:cs="仿宋"/>
          <w:b/>
          <w:color w:val="auto"/>
          <w:sz w:val="32"/>
          <w:szCs w:val="32"/>
        </w:rPr>
        <w:t>类似项目业绩一览表</w:t>
      </w:r>
    </w:p>
    <w:p w14:paraId="2D95A566">
      <w:pPr>
        <w:wordWrap w:val="0"/>
        <w:spacing w:line="360" w:lineRule="auto"/>
        <w:rPr>
          <w:rFonts w:hint="eastAsia" w:ascii="仿宋" w:hAnsi="仿宋" w:eastAsia="仿宋" w:cs="仿宋"/>
          <w:color w:val="auto"/>
          <w:kern w:val="1"/>
        </w:rPr>
      </w:pPr>
    </w:p>
    <w:tbl>
      <w:tblPr>
        <w:tblStyle w:val="34"/>
        <w:tblW w:w="0" w:type="auto"/>
        <w:tblInd w:w="54" w:type="dxa"/>
        <w:tblLayout w:type="fixed"/>
        <w:tblCellMar>
          <w:top w:w="0" w:type="dxa"/>
          <w:left w:w="54" w:type="dxa"/>
          <w:bottom w:w="0" w:type="dxa"/>
          <w:right w:w="54" w:type="dxa"/>
        </w:tblCellMar>
      </w:tblPr>
      <w:tblGrid>
        <w:gridCol w:w="1359"/>
        <w:gridCol w:w="2265"/>
        <w:gridCol w:w="2407"/>
        <w:gridCol w:w="1377"/>
        <w:gridCol w:w="859"/>
      </w:tblGrid>
      <w:tr w14:paraId="712F6CEF">
        <w:tblPrEx>
          <w:tblCellMar>
            <w:top w:w="0" w:type="dxa"/>
            <w:left w:w="54" w:type="dxa"/>
            <w:bottom w:w="0" w:type="dxa"/>
            <w:right w:w="54" w:type="dxa"/>
          </w:tblCellMar>
        </w:tblPrEx>
        <w:trPr>
          <w:cantSplit/>
          <w:trHeight w:val="600" w:hRule="atLeast"/>
        </w:trPr>
        <w:tc>
          <w:tcPr>
            <w:tcW w:w="1359" w:type="dxa"/>
            <w:tcBorders>
              <w:top w:val="single" w:color="000000" w:sz="4" w:space="0"/>
              <w:left w:val="single" w:color="000000" w:sz="4" w:space="0"/>
              <w:bottom w:val="single" w:color="000000" w:sz="6" w:space="0"/>
              <w:right w:val="single" w:color="000000" w:sz="6" w:space="0"/>
            </w:tcBorders>
            <w:noWrap/>
            <w:vAlign w:val="center"/>
          </w:tcPr>
          <w:p w14:paraId="60F71697">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年份</w:t>
            </w:r>
          </w:p>
        </w:tc>
        <w:tc>
          <w:tcPr>
            <w:tcW w:w="2265" w:type="dxa"/>
            <w:tcBorders>
              <w:top w:val="single" w:color="000000" w:sz="4" w:space="0"/>
              <w:left w:val="single" w:color="000000" w:sz="6" w:space="0"/>
              <w:bottom w:val="single" w:color="000000" w:sz="6" w:space="0"/>
              <w:right w:val="single" w:color="000000" w:sz="6" w:space="0"/>
            </w:tcBorders>
            <w:noWrap/>
            <w:vAlign w:val="center"/>
          </w:tcPr>
          <w:p w14:paraId="022A8536">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委托人名称</w:t>
            </w:r>
          </w:p>
        </w:tc>
        <w:tc>
          <w:tcPr>
            <w:tcW w:w="2407" w:type="dxa"/>
            <w:tcBorders>
              <w:top w:val="single" w:color="000000" w:sz="4" w:space="0"/>
              <w:left w:val="single" w:color="000000" w:sz="6" w:space="0"/>
              <w:bottom w:val="single" w:color="000000" w:sz="6" w:space="0"/>
              <w:right w:val="single" w:color="000000" w:sz="6" w:space="0"/>
            </w:tcBorders>
            <w:noWrap/>
            <w:vAlign w:val="center"/>
          </w:tcPr>
          <w:p w14:paraId="344520BD">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项目名称</w:t>
            </w:r>
          </w:p>
        </w:tc>
        <w:tc>
          <w:tcPr>
            <w:tcW w:w="1377" w:type="dxa"/>
            <w:tcBorders>
              <w:top w:val="single" w:color="000000" w:sz="4" w:space="0"/>
              <w:left w:val="single" w:color="000000" w:sz="6" w:space="0"/>
              <w:bottom w:val="single" w:color="000000" w:sz="6" w:space="0"/>
              <w:right w:val="single" w:color="000000" w:sz="6" w:space="0"/>
            </w:tcBorders>
            <w:noWrap/>
            <w:vAlign w:val="center"/>
          </w:tcPr>
          <w:p w14:paraId="5B05CE60">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合同金额</w:t>
            </w:r>
          </w:p>
        </w:tc>
        <w:tc>
          <w:tcPr>
            <w:tcW w:w="859" w:type="dxa"/>
            <w:tcBorders>
              <w:top w:val="single" w:color="000000" w:sz="4" w:space="0"/>
              <w:left w:val="single" w:color="000000" w:sz="4" w:space="0"/>
              <w:bottom w:val="single" w:color="000000" w:sz="6" w:space="0"/>
              <w:right w:val="single" w:color="000000" w:sz="4" w:space="0"/>
            </w:tcBorders>
            <w:noWrap/>
            <w:vAlign w:val="center"/>
          </w:tcPr>
          <w:p w14:paraId="08CB0FF2">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备注</w:t>
            </w:r>
          </w:p>
        </w:tc>
      </w:tr>
      <w:tr w14:paraId="0E9B3144">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43730B9A">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2F90F9AC">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67C71672">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5BB500E2">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49EFC667">
            <w:pPr>
              <w:wordWrap w:val="0"/>
              <w:spacing w:line="360" w:lineRule="auto"/>
              <w:rPr>
                <w:rFonts w:hint="eastAsia" w:ascii="仿宋" w:hAnsi="仿宋" w:eastAsia="仿宋" w:cs="仿宋"/>
                <w:color w:val="auto"/>
                <w:kern w:val="1"/>
              </w:rPr>
            </w:pPr>
          </w:p>
        </w:tc>
      </w:tr>
      <w:tr w14:paraId="7E449B4C">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72BDBAFE">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73BB9270">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7DEDCFBD">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27478C02">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7ED2F66C">
            <w:pPr>
              <w:wordWrap w:val="0"/>
              <w:spacing w:line="360" w:lineRule="auto"/>
              <w:rPr>
                <w:rFonts w:hint="eastAsia" w:ascii="仿宋" w:hAnsi="仿宋" w:eastAsia="仿宋" w:cs="仿宋"/>
                <w:color w:val="auto"/>
                <w:kern w:val="1"/>
              </w:rPr>
            </w:pPr>
          </w:p>
        </w:tc>
      </w:tr>
      <w:tr w14:paraId="43CC5FE8">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29069B70">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7D85CFA8">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117C542C">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69B5E470">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02098F55">
            <w:pPr>
              <w:wordWrap w:val="0"/>
              <w:spacing w:line="360" w:lineRule="auto"/>
              <w:rPr>
                <w:rFonts w:hint="eastAsia" w:ascii="仿宋" w:hAnsi="仿宋" w:eastAsia="仿宋" w:cs="仿宋"/>
                <w:color w:val="auto"/>
                <w:kern w:val="1"/>
              </w:rPr>
            </w:pPr>
          </w:p>
        </w:tc>
      </w:tr>
      <w:tr w14:paraId="52F16B4F">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128831AF">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4" w:space="0"/>
            </w:tcBorders>
            <w:noWrap/>
            <w:vAlign w:val="center"/>
          </w:tcPr>
          <w:p w14:paraId="0DE6CE5C">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6" w:space="0"/>
            </w:tcBorders>
            <w:noWrap/>
            <w:vAlign w:val="center"/>
          </w:tcPr>
          <w:p w14:paraId="6A875358">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64955273">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4F88ECCE">
            <w:pPr>
              <w:wordWrap w:val="0"/>
              <w:spacing w:line="360" w:lineRule="auto"/>
              <w:rPr>
                <w:rFonts w:hint="eastAsia" w:ascii="仿宋" w:hAnsi="仿宋" w:eastAsia="仿宋" w:cs="仿宋"/>
                <w:color w:val="auto"/>
                <w:kern w:val="1"/>
              </w:rPr>
            </w:pPr>
          </w:p>
        </w:tc>
      </w:tr>
      <w:tr w14:paraId="54F329D5">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4" w:space="0"/>
            </w:tcBorders>
            <w:noWrap/>
            <w:vAlign w:val="center"/>
          </w:tcPr>
          <w:p w14:paraId="12AE92B0">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4" w:space="0"/>
              <w:bottom w:val="single" w:color="000000" w:sz="6" w:space="0"/>
              <w:right w:val="single" w:color="000000" w:sz="4" w:space="0"/>
            </w:tcBorders>
            <w:noWrap/>
            <w:vAlign w:val="center"/>
          </w:tcPr>
          <w:p w14:paraId="4E3E2D5F">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4" w:space="0"/>
            </w:tcBorders>
            <w:noWrap/>
            <w:vAlign w:val="center"/>
          </w:tcPr>
          <w:p w14:paraId="425F81A2">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4" w:space="0"/>
              <w:bottom w:val="single" w:color="000000" w:sz="6" w:space="0"/>
              <w:right w:val="single" w:color="000000" w:sz="4" w:space="0"/>
            </w:tcBorders>
            <w:noWrap/>
            <w:vAlign w:val="center"/>
          </w:tcPr>
          <w:p w14:paraId="64FD01CF">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593B59DC">
            <w:pPr>
              <w:wordWrap w:val="0"/>
              <w:spacing w:line="360" w:lineRule="auto"/>
              <w:rPr>
                <w:rFonts w:hint="eastAsia" w:ascii="仿宋" w:hAnsi="仿宋" w:eastAsia="仿宋" w:cs="仿宋"/>
                <w:color w:val="auto"/>
                <w:kern w:val="1"/>
              </w:rPr>
            </w:pPr>
          </w:p>
        </w:tc>
      </w:tr>
      <w:tr w14:paraId="32F87183">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0F98B336">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701FE87E">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13272DBA">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6111E719">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06DBA292">
            <w:pPr>
              <w:wordWrap w:val="0"/>
              <w:spacing w:line="360" w:lineRule="auto"/>
              <w:rPr>
                <w:rFonts w:hint="eastAsia" w:ascii="仿宋" w:hAnsi="仿宋" w:eastAsia="仿宋" w:cs="仿宋"/>
                <w:color w:val="auto"/>
                <w:kern w:val="1"/>
              </w:rPr>
            </w:pPr>
          </w:p>
        </w:tc>
      </w:tr>
      <w:tr w14:paraId="7CB8A321">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00278A75">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07F75225">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36170C4B">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2D3F599A">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725D349F">
            <w:pPr>
              <w:wordWrap w:val="0"/>
              <w:spacing w:line="360" w:lineRule="auto"/>
              <w:rPr>
                <w:rFonts w:hint="eastAsia" w:ascii="仿宋" w:hAnsi="仿宋" w:eastAsia="仿宋" w:cs="仿宋"/>
                <w:color w:val="auto"/>
                <w:kern w:val="1"/>
              </w:rPr>
            </w:pPr>
          </w:p>
        </w:tc>
      </w:tr>
      <w:tr w14:paraId="7D271EB3">
        <w:tblPrEx>
          <w:tblCellMar>
            <w:top w:w="0" w:type="dxa"/>
            <w:left w:w="54" w:type="dxa"/>
            <w:bottom w:w="0" w:type="dxa"/>
            <w:right w:w="54" w:type="dxa"/>
          </w:tblCellMar>
        </w:tblPrEx>
        <w:trPr>
          <w:cantSplit/>
          <w:trHeight w:val="435" w:hRule="atLeast"/>
        </w:trPr>
        <w:tc>
          <w:tcPr>
            <w:tcW w:w="1359" w:type="dxa"/>
            <w:tcBorders>
              <w:top w:val="single" w:color="000000" w:sz="4" w:space="0"/>
              <w:left w:val="single" w:color="000000" w:sz="4" w:space="0"/>
              <w:bottom w:val="single" w:color="000000" w:sz="4" w:space="0"/>
              <w:right w:val="single" w:color="000000" w:sz="6" w:space="0"/>
            </w:tcBorders>
            <w:noWrap/>
            <w:vAlign w:val="center"/>
          </w:tcPr>
          <w:p w14:paraId="5257346E">
            <w:pPr>
              <w:wordWrap w:val="0"/>
              <w:spacing w:line="360" w:lineRule="auto"/>
              <w:rPr>
                <w:rFonts w:hint="eastAsia" w:ascii="仿宋" w:hAnsi="仿宋" w:eastAsia="仿宋" w:cs="仿宋"/>
                <w:color w:val="auto"/>
                <w:kern w:val="1"/>
              </w:rPr>
            </w:pPr>
          </w:p>
        </w:tc>
        <w:tc>
          <w:tcPr>
            <w:tcW w:w="2265" w:type="dxa"/>
            <w:tcBorders>
              <w:top w:val="single" w:color="000000" w:sz="4" w:space="0"/>
              <w:left w:val="single" w:color="000000" w:sz="6" w:space="0"/>
              <w:bottom w:val="single" w:color="000000" w:sz="4" w:space="0"/>
              <w:right w:val="single" w:color="000000" w:sz="6" w:space="0"/>
            </w:tcBorders>
            <w:noWrap/>
            <w:vAlign w:val="center"/>
          </w:tcPr>
          <w:p w14:paraId="76833B25">
            <w:pPr>
              <w:wordWrap w:val="0"/>
              <w:spacing w:line="360" w:lineRule="auto"/>
              <w:rPr>
                <w:rFonts w:hint="eastAsia" w:ascii="仿宋" w:hAnsi="仿宋" w:eastAsia="仿宋" w:cs="仿宋"/>
                <w:color w:val="auto"/>
                <w:kern w:val="1"/>
              </w:rPr>
            </w:pPr>
          </w:p>
        </w:tc>
        <w:tc>
          <w:tcPr>
            <w:tcW w:w="2407" w:type="dxa"/>
            <w:tcBorders>
              <w:top w:val="single" w:color="000000" w:sz="4" w:space="0"/>
              <w:left w:val="single" w:color="000000" w:sz="6" w:space="0"/>
              <w:bottom w:val="single" w:color="000000" w:sz="4" w:space="0"/>
              <w:right w:val="single" w:color="000000" w:sz="6" w:space="0"/>
            </w:tcBorders>
            <w:noWrap/>
            <w:vAlign w:val="center"/>
          </w:tcPr>
          <w:p w14:paraId="2380FCD2">
            <w:pPr>
              <w:wordWrap w:val="0"/>
              <w:spacing w:line="360" w:lineRule="auto"/>
              <w:rPr>
                <w:rFonts w:hint="eastAsia" w:ascii="仿宋" w:hAnsi="仿宋" w:eastAsia="仿宋" w:cs="仿宋"/>
                <w:color w:val="auto"/>
                <w:kern w:val="1"/>
              </w:rPr>
            </w:pPr>
          </w:p>
        </w:tc>
        <w:tc>
          <w:tcPr>
            <w:tcW w:w="1377" w:type="dxa"/>
            <w:tcBorders>
              <w:top w:val="single" w:color="000000" w:sz="4" w:space="0"/>
              <w:left w:val="single" w:color="000000" w:sz="6" w:space="0"/>
              <w:bottom w:val="single" w:color="000000" w:sz="4" w:space="0"/>
              <w:right w:val="single" w:color="000000" w:sz="4" w:space="0"/>
            </w:tcBorders>
            <w:noWrap/>
            <w:vAlign w:val="center"/>
          </w:tcPr>
          <w:p w14:paraId="266FB9DD">
            <w:pPr>
              <w:wordWrap w:val="0"/>
              <w:spacing w:line="360" w:lineRule="auto"/>
              <w:rPr>
                <w:rFonts w:hint="eastAsia" w:ascii="仿宋" w:hAnsi="仿宋" w:eastAsia="仿宋" w:cs="仿宋"/>
                <w:color w:val="auto"/>
                <w:kern w:val="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73A2841">
            <w:pPr>
              <w:wordWrap w:val="0"/>
              <w:spacing w:line="360" w:lineRule="auto"/>
              <w:rPr>
                <w:rFonts w:hint="eastAsia" w:ascii="仿宋" w:hAnsi="仿宋" w:eastAsia="仿宋" w:cs="仿宋"/>
                <w:color w:val="auto"/>
                <w:kern w:val="1"/>
              </w:rPr>
            </w:pPr>
          </w:p>
        </w:tc>
      </w:tr>
    </w:tbl>
    <w:p w14:paraId="60D1B81B">
      <w:pPr>
        <w:wordWrap w:val="0"/>
        <w:spacing w:line="360" w:lineRule="auto"/>
        <w:jc w:val="left"/>
        <w:rPr>
          <w:rFonts w:hint="eastAsia" w:ascii="仿宋" w:hAnsi="仿宋" w:eastAsia="仿宋" w:cs="仿宋"/>
          <w:b/>
          <w:color w:val="auto"/>
          <w:kern w:val="1"/>
          <w:szCs w:val="24"/>
        </w:rPr>
      </w:pPr>
    </w:p>
    <w:p w14:paraId="6890C00B">
      <w:pPr>
        <w:wordWrap w:val="0"/>
        <w:spacing w:line="360" w:lineRule="auto"/>
        <w:jc w:val="left"/>
        <w:rPr>
          <w:rFonts w:hint="eastAsia" w:ascii="仿宋" w:hAnsi="仿宋" w:eastAsia="仿宋" w:cs="仿宋"/>
          <w:b/>
          <w:color w:val="auto"/>
          <w:kern w:val="1"/>
          <w:szCs w:val="24"/>
        </w:rPr>
      </w:pPr>
    </w:p>
    <w:p w14:paraId="142456D7">
      <w:pPr>
        <w:wordWrap w:val="0"/>
        <w:spacing w:line="360" w:lineRule="auto"/>
        <w:jc w:val="left"/>
        <w:rPr>
          <w:rFonts w:hint="eastAsia" w:ascii="仿宋" w:hAnsi="仿宋" w:eastAsia="仿宋" w:cs="仿宋"/>
          <w:color w:val="auto"/>
          <w:kern w:val="1"/>
          <w:sz w:val="24"/>
          <w:szCs w:val="24"/>
        </w:rPr>
      </w:pPr>
      <w:r>
        <w:rPr>
          <w:rFonts w:hint="eastAsia" w:ascii="仿宋" w:hAnsi="仿宋" w:eastAsia="仿宋" w:cs="仿宋"/>
          <w:b/>
          <w:bCs/>
          <w:color w:val="auto"/>
          <w:szCs w:val="21"/>
        </w:rPr>
        <w:t>注：提供</w:t>
      </w:r>
      <w:r>
        <w:rPr>
          <w:rFonts w:hint="eastAsia" w:ascii="仿宋" w:hAnsi="仿宋" w:eastAsia="仿宋" w:cs="仿宋"/>
          <w:b/>
          <w:bCs/>
          <w:color w:val="auto"/>
          <w:sz w:val="24"/>
          <w:szCs w:val="24"/>
        </w:rPr>
        <w:t>合同复印件及良好履约证明材料复印件</w:t>
      </w:r>
      <w:r>
        <w:rPr>
          <w:rFonts w:hint="eastAsia" w:ascii="仿宋" w:hAnsi="仿宋" w:eastAsia="仿宋" w:cs="仿宋"/>
          <w:b/>
          <w:bCs/>
          <w:color w:val="auto"/>
          <w:szCs w:val="21"/>
        </w:rPr>
        <w:t>并加盖供应商鲜章</w:t>
      </w:r>
      <w:r>
        <w:rPr>
          <w:rFonts w:hint="eastAsia" w:ascii="仿宋" w:hAnsi="仿宋" w:eastAsia="仿宋" w:cs="仿宋"/>
          <w:b/>
          <w:bCs/>
          <w:color w:val="auto"/>
          <w:kern w:val="1"/>
          <w:szCs w:val="24"/>
        </w:rPr>
        <w:t>。</w:t>
      </w:r>
    </w:p>
    <w:p w14:paraId="51243EB6">
      <w:pPr>
        <w:wordWrap w:val="0"/>
        <w:spacing w:line="360" w:lineRule="auto"/>
        <w:jc w:val="left"/>
        <w:rPr>
          <w:rFonts w:hint="eastAsia" w:ascii="仿宋" w:hAnsi="仿宋" w:eastAsia="仿宋" w:cs="仿宋"/>
          <w:color w:val="auto"/>
          <w:kern w:val="1"/>
          <w:sz w:val="24"/>
        </w:rPr>
      </w:pPr>
    </w:p>
    <w:p w14:paraId="7686A654">
      <w:pPr>
        <w:wordWrap w:val="0"/>
        <w:spacing w:line="360" w:lineRule="auto"/>
        <w:jc w:val="left"/>
        <w:rPr>
          <w:rFonts w:hint="eastAsia" w:ascii="仿宋" w:hAnsi="仿宋" w:eastAsia="仿宋" w:cs="仿宋"/>
          <w:color w:val="auto"/>
          <w:kern w:val="1"/>
          <w:sz w:val="24"/>
        </w:rPr>
      </w:pPr>
    </w:p>
    <w:p w14:paraId="26A7D908">
      <w:pPr>
        <w:wordWrap w:val="0"/>
        <w:spacing w:line="360" w:lineRule="auto"/>
        <w:jc w:val="left"/>
        <w:rPr>
          <w:rFonts w:hint="eastAsia" w:ascii="仿宋" w:hAnsi="仿宋" w:eastAsia="仿宋" w:cs="仿宋"/>
          <w:color w:val="auto"/>
          <w:kern w:val="1"/>
          <w:sz w:val="24"/>
        </w:rPr>
      </w:pPr>
    </w:p>
    <w:p w14:paraId="103DCCC5">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2DE55245">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191FD74">
      <w:pPr>
        <w:wordWrap w:val="0"/>
        <w:spacing w:line="360" w:lineRule="auto"/>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格式2-6</w:t>
      </w:r>
    </w:p>
    <w:p w14:paraId="68B5238E">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服务内容及要求响应偏离表</w:t>
      </w:r>
    </w:p>
    <w:tbl>
      <w:tblPr>
        <w:tblStyle w:val="34"/>
        <w:tblW w:w="0" w:type="auto"/>
        <w:jc w:val="center"/>
        <w:tblLayout w:type="fixed"/>
        <w:tblCellMar>
          <w:top w:w="0" w:type="dxa"/>
          <w:left w:w="108" w:type="dxa"/>
          <w:bottom w:w="0" w:type="dxa"/>
          <w:right w:w="108" w:type="dxa"/>
        </w:tblCellMar>
      </w:tblPr>
      <w:tblGrid>
        <w:gridCol w:w="709"/>
        <w:gridCol w:w="2977"/>
        <w:gridCol w:w="2551"/>
        <w:gridCol w:w="2835"/>
      </w:tblGrid>
      <w:tr w14:paraId="523A8E27">
        <w:tblPrEx>
          <w:tblCellMar>
            <w:top w:w="0" w:type="dxa"/>
            <w:left w:w="108" w:type="dxa"/>
            <w:bottom w:w="0" w:type="dxa"/>
            <w:right w:w="108" w:type="dxa"/>
          </w:tblCellMar>
        </w:tblPrEx>
        <w:trPr>
          <w:trHeight w:val="567" w:hRule="exact"/>
          <w:jc w:val="center"/>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0821E551">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17670907">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551" w:type="dxa"/>
            <w:tcBorders>
              <w:top w:val="single" w:color="000000" w:sz="12" w:space="0"/>
              <w:left w:val="single" w:color="000000" w:sz="4" w:space="0"/>
              <w:bottom w:val="single" w:color="000000" w:sz="4" w:space="0"/>
              <w:right w:val="single" w:color="000000" w:sz="4" w:space="0"/>
            </w:tcBorders>
            <w:noWrap/>
            <w:vAlign w:val="center"/>
          </w:tcPr>
          <w:p w14:paraId="66D218A6">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835" w:type="dxa"/>
            <w:tcBorders>
              <w:top w:val="single" w:color="000000" w:sz="12" w:space="0"/>
              <w:left w:val="single" w:color="000000" w:sz="4" w:space="0"/>
              <w:bottom w:val="single" w:color="000000" w:sz="4" w:space="0"/>
              <w:right w:val="single" w:color="000000" w:sz="12" w:space="0"/>
            </w:tcBorders>
            <w:noWrap/>
            <w:vAlign w:val="center"/>
          </w:tcPr>
          <w:p w14:paraId="2508809B">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3A421BAB">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2B6C51D3">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58BD574">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088C020">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693F3E33">
            <w:pPr>
              <w:wordWrap w:val="0"/>
              <w:spacing w:line="360" w:lineRule="auto"/>
              <w:rPr>
                <w:rFonts w:hint="eastAsia" w:ascii="仿宋" w:hAnsi="仿宋" w:eastAsia="仿宋" w:cs="仿宋"/>
                <w:color w:val="auto"/>
                <w:kern w:val="1"/>
              </w:rPr>
            </w:pPr>
          </w:p>
        </w:tc>
      </w:tr>
      <w:tr w14:paraId="11CE4FE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52C539A">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09004AC">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0103080">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58215532">
            <w:pPr>
              <w:wordWrap w:val="0"/>
              <w:spacing w:line="360" w:lineRule="auto"/>
              <w:rPr>
                <w:rFonts w:hint="eastAsia" w:ascii="仿宋" w:hAnsi="仿宋" w:eastAsia="仿宋" w:cs="仿宋"/>
                <w:color w:val="auto"/>
                <w:kern w:val="1"/>
              </w:rPr>
            </w:pPr>
          </w:p>
        </w:tc>
      </w:tr>
      <w:tr w14:paraId="5513300B">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32DD4576">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DBE9E33">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4C7FEAB">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781AE94">
            <w:pPr>
              <w:wordWrap w:val="0"/>
              <w:spacing w:line="360" w:lineRule="auto"/>
              <w:rPr>
                <w:rFonts w:hint="eastAsia" w:ascii="仿宋" w:hAnsi="仿宋" w:eastAsia="仿宋" w:cs="仿宋"/>
                <w:color w:val="auto"/>
                <w:kern w:val="1"/>
              </w:rPr>
            </w:pPr>
          </w:p>
        </w:tc>
      </w:tr>
      <w:tr w14:paraId="4B76836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C26EC63">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C477C5D">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D7AD2ED">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2BFAB174">
            <w:pPr>
              <w:wordWrap w:val="0"/>
              <w:spacing w:line="360" w:lineRule="auto"/>
              <w:rPr>
                <w:rFonts w:hint="eastAsia" w:ascii="仿宋" w:hAnsi="仿宋" w:eastAsia="仿宋" w:cs="仿宋"/>
                <w:color w:val="auto"/>
                <w:kern w:val="1"/>
              </w:rPr>
            </w:pPr>
          </w:p>
        </w:tc>
      </w:tr>
      <w:tr w14:paraId="2EBBC24D">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C9D206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2F1CD0A">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153D180">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2798DF50">
            <w:pPr>
              <w:wordWrap w:val="0"/>
              <w:spacing w:line="360" w:lineRule="auto"/>
              <w:rPr>
                <w:rFonts w:hint="eastAsia" w:ascii="仿宋" w:hAnsi="仿宋" w:eastAsia="仿宋" w:cs="仿宋"/>
                <w:color w:val="auto"/>
                <w:kern w:val="1"/>
              </w:rPr>
            </w:pPr>
          </w:p>
        </w:tc>
      </w:tr>
      <w:tr w14:paraId="1E04D41D">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419CD53">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CE6E2B0">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60934563">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0CD9E3CC">
            <w:pPr>
              <w:wordWrap w:val="0"/>
              <w:spacing w:line="360" w:lineRule="auto"/>
              <w:rPr>
                <w:rFonts w:hint="eastAsia" w:ascii="仿宋" w:hAnsi="仿宋" w:eastAsia="仿宋" w:cs="仿宋"/>
                <w:color w:val="auto"/>
                <w:kern w:val="1"/>
              </w:rPr>
            </w:pPr>
          </w:p>
        </w:tc>
      </w:tr>
      <w:tr w14:paraId="339EC47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3A4A2F8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B0F3E51">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2D67A33">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191AC907">
            <w:pPr>
              <w:wordWrap w:val="0"/>
              <w:spacing w:line="360" w:lineRule="auto"/>
              <w:rPr>
                <w:rFonts w:hint="eastAsia" w:ascii="仿宋" w:hAnsi="仿宋" w:eastAsia="仿宋" w:cs="仿宋"/>
                <w:color w:val="auto"/>
                <w:kern w:val="1"/>
              </w:rPr>
            </w:pPr>
          </w:p>
        </w:tc>
      </w:tr>
      <w:tr w14:paraId="3708B50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6CE50364">
            <w:pPr>
              <w:wordWrap w:val="0"/>
              <w:spacing w:line="360" w:lineRule="auto"/>
              <w:rPr>
                <w:rFonts w:hint="eastAsia" w:ascii="仿宋" w:hAnsi="仿宋" w:eastAsia="仿宋" w:cs="仿宋"/>
                <w:color w:val="auto"/>
                <w:kern w:val="1"/>
              </w:rPr>
            </w:pPr>
          </w:p>
          <w:p w14:paraId="28C00991">
            <w:pPr>
              <w:pStyle w:val="2"/>
              <w:wordWrap w:val="0"/>
              <w:rPr>
                <w:rFonts w:hint="eastAsia" w:ascii="仿宋" w:hAnsi="仿宋" w:eastAsia="仿宋" w:cs="仿宋"/>
                <w:color w:val="auto"/>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A3BCB6D">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2F806F1">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502F0612">
            <w:pPr>
              <w:wordWrap w:val="0"/>
              <w:spacing w:line="360" w:lineRule="auto"/>
              <w:rPr>
                <w:rFonts w:hint="eastAsia" w:ascii="仿宋" w:hAnsi="仿宋" w:eastAsia="仿宋" w:cs="仿宋"/>
                <w:color w:val="auto"/>
                <w:kern w:val="1"/>
              </w:rPr>
            </w:pPr>
          </w:p>
        </w:tc>
      </w:tr>
      <w:tr w14:paraId="73E12E72">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6416D61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B2021CC">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ABD6918">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F75C3B1">
            <w:pPr>
              <w:wordWrap w:val="0"/>
              <w:spacing w:line="360" w:lineRule="auto"/>
              <w:rPr>
                <w:rFonts w:hint="eastAsia" w:ascii="仿宋" w:hAnsi="仿宋" w:eastAsia="仿宋" w:cs="仿宋"/>
                <w:color w:val="auto"/>
                <w:kern w:val="1"/>
              </w:rPr>
            </w:pPr>
          </w:p>
        </w:tc>
      </w:tr>
      <w:tr w14:paraId="601A8055">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20BFC0C1">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775270F8">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12" w:space="0"/>
              <w:right w:val="single" w:color="000000" w:sz="4" w:space="0"/>
            </w:tcBorders>
            <w:noWrap/>
            <w:vAlign w:val="center"/>
          </w:tcPr>
          <w:p w14:paraId="30C4D786">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12" w:space="0"/>
              <w:right w:val="single" w:color="000000" w:sz="12" w:space="0"/>
            </w:tcBorders>
            <w:noWrap/>
          </w:tcPr>
          <w:p w14:paraId="0A8D0C38">
            <w:pPr>
              <w:wordWrap w:val="0"/>
              <w:spacing w:line="360" w:lineRule="auto"/>
              <w:rPr>
                <w:rFonts w:hint="eastAsia" w:ascii="仿宋" w:hAnsi="仿宋" w:eastAsia="仿宋" w:cs="仿宋"/>
                <w:color w:val="auto"/>
                <w:kern w:val="1"/>
              </w:rPr>
            </w:pPr>
          </w:p>
        </w:tc>
      </w:tr>
    </w:tbl>
    <w:p w14:paraId="73BA1B5C">
      <w:pPr>
        <w:wordWrap w:val="0"/>
        <w:spacing w:line="360" w:lineRule="auto"/>
        <w:rPr>
          <w:rFonts w:hint="eastAsia" w:ascii="仿宋" w:hAnsi="仿宋" w:eastAsia="仿宋" w:cs="仿宋"/>
          <w:b/>
          <w:color w:val="auto"/>
          <w:spacing w:val="-1"/>
          <w:szCs w:val="21"/>
        </w:rPr>
      </w:pPr>
    </w:p>
    <w:p w14:paraId="45B89A7F">
      <w:pPr>
        <w:wordWrap w:val="0"/>
        <w:spacing w:line="360" w:lineRule="auto"/>
        <w:rPr>
          <w:rFonts w:hint="eastAsia" w:ascii="仿宋" w:hAnsi="仿宋" w:eastAsia="仿宋" w:cs="仿宋"/>
          <w:b/>
          <w:color w:val="auto"/>
          <w:spacing w:val="-1"/>
          <w:szCs w:val="21"/>
        </w:rPr>
      </w:pPr>
      <w:r>
        <w:rPr>
          <w:rFonts w:hint="eastAsia" w:ascii="仿宋" w:hAnsi="仿宋" w:eastAsia="仿宋" w:cs="仿宋"/>
          <w:b/>
          <w:color w:val="auto"/>
          <w:spacing w:val="-1"/>
          <w:szCs w:val="21"/>
        </w:rPr>
        <w:t>注：</w:t>
      </w:r>
    </w:p>
    <w:p w14:paraId="560BE090">
      <w:pPr>
        <w:wordWrap w:val="0"/>
        <w:spacing w:line="360" w:lineRule="auto"/>
        <w:ind w:firstLine="418" w:firstLineChars="200"/>
        <w:rPr>
          <w:rFonts w:hint="eastAsia" w:ascii="仿宋" w:hAnsi="仿宋" w:eastAsia="仿宋" w:cs="仿宋"/>
          <w:b/>
          <w:color w:val="auto"/>
          <w:spacing w:val="-1"/>
          <w:szCs w:val="21"/>
        </w:rPr>
      </w:pPr>
      <w:r>
        <w:rPr>
          <w:rFonts w:hint="eastAsia" w:ascii="仿宋" w:hAnsi="仿宋" w:eastAsia="仿宋" w:cs="仿宋"/>
          <w:b/>
          <w:color w:val="auto"/>
          <w:spacing w:val="-1"/>
          <w:szCs w:val="21"/>
        </w:rPr>
        <w:t>1、供应商必须根据磋商文件要求据实逐条填写，不得虚假响应，虚假响应的，其响应文件无效并按规定追究其相关责任。</w:t>
      </w:r>
      <w:r>
        <w:rPr>
          <w:rFonts w:hint="eastAsia" w:ascii="仿宋" w:hAnsi="仿宋" w:eastAsia="仿宋" w:cs="仿宋"/>
          <w:b/>
          <w:bCs/>
          <w:color w:val="auto"/>
          <w:szCs w:val="21"/>
          <w:lang w:val="zh-TW"/>
        </w:rPr>
        <w:t>如与磋商文件服务内容及要求条款无偏离，则无须逐条应答。</w:t>
      </w:r>
    </w:p>
    <w:p w14:paraId="20B2D9C5">
      <w:pPr>
        <w:wordWrap w:val="0"/>
        <w:spacing w:line="360" w:lineRule="auto"/>
        <w:ind w:firstLine="418" w:firstLineChars="200"/>
        <w:jc w:val="left"/>
        <w:rPr>
          <w:rFonts w:hint="eastAsia" w:ascii="仿宋" w:hAnsi="仿宋" w:eastAsia="仿宋" w:cs="仿宋"/>
          <w:b/>
          <w:color w:val="auto"/>
          <w:spacing w:val="-1"/>
          <w:szCs w:val="21"/>
        </w:rPr>
      </w:pPr>
      <w:r>
        <w:rPr>
          <w:rFonts w:hint="eastAsia" w:ascii="仿宋" w:hAnsi="仿宋" w:eastAsia="仿宋" w:cs="仿宋"/>
          <w:b/>
          <w:color w:val="auto"/>
          <w:spacing w:val="-1"/>
          <w:szCs w:val="21"/>
        </w:rPr>
        <w:t>2、偏离情况按实际填写“正偏离”、“负偏离”、“完全响应”。</w:t>
      </w:r>
    </w:p>
    <w:p w14:paraId="08590BCC">
      <w:pPr>
        <w:wordWrap w:val="0"/>
        <w:spacing w:line="360" w:lineRule="auto"/>
        <w:jc w:val="left"/>
        <w:rPr>
          <w:rFonts w:hint="eastAsia" w:ascii="仿宋" w:hAnsi="仿宋" w:eastAsia="仿宋" w:cs="仿宋"/>
          <w:color w:val="auto"/>
          <w:kern w:val="1"/>
          <w:sz w:val="24"/>
        </w:rPr>
      </w:pPr>
    </w:p>
    <w:p w14:paraId="5B26518C">
      <w:pPr>
        <w:wordWrap w:val="0"/>
        <w:spacing w:line="360" w:lineRule="auto"/>
        <w:jc w:val="left"/>
        <w:rPr>
          <w:rFonts w:hint="eastAsia" w:ascii="仿宋" w:hAnsi="仿宋" w:eastAsia="仿宋" w:cs="仿宋"/>
          <w:color w:val="auto"/>
          <w:kern w:val="1"/>
          <w:sz w:val="24"/>
        </w:rPr>
      </w:pPr>
    </w:p>
    <w:p w14:paraId="681349CA">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4702B3B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DB5F59C">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格式2-7</w:t>
      </w:r>
    </w:p>
    <w:p w14:paraId="589C31FE">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29" w:name="_Toc3529"/>
      <w:bookmarkEnd w:id="29"/>
      <w:r>
        <w:rPr>
          <w:rFonts w:hint="eastAsia" w:ascii="仿宋" w:hAnsi="仿宋" w:eastAsia="仿宋" w:cs="仿宋"/>
          <w:b/>
          <w:color w:val="auto"/>
          <w:sz w:val="32"/>
          <w:szCs w:val="32"/>
        </w:rPr>
        <w:t>商务应答表</w:t>
      </w:r>
    </w:p>
    <w:p w14:paraId="7B36D2AF">
      <w:pPr>
        <w:wordWrap w:val="0"/>
        <w:spacing w:line="360" w:lineRule="auto"/>
        <w:jc w:val="left"/>
        <w:rPr>
          <w:rFonts w:hint="eastAsia" w:ascii="仿宋" w:hAnsi="仿宋" w:eastAsia="仿宋" w:cs="仿宋"/>
          <w:b/>
          <w:color w:val="auto"/>
          <w:sz w:val="3"/>
          <w:szCs w:val="3"/>
        </w:rPr>
      </w:pPr>
    </w:p>
    <w:tbl>
      <w:tblPr>
        <w:tblStyle w:val="34"/>
        <w:tblW w:w="0" w:type="auto"/>
        <w:tblInd w:w="108" w:type="dxa"/>
        <w:tblLayout w:type="fixed"/>
        <w:tblCellMar>
          <w:top w:w="0" w:type="dxa"/>
          <w:left w:w="108" w:type="dxa"/>
          <w:bottom w:w="0" w:type="dxa"/>
          <w:right w:w="108" w:type="dxa"/>
        </w:tblCellMar>
      </w:tblPr>
      <w:tblGrid>
        <w:gridCol w:w="709"/>
        <w:gridCol w:w="2977"/>
        <w:gridCol w:w="2977"/>
        <w:gridCol w:w="2126"/>
      </w:tblGrid>
      <w:tr w14:paraId="0B84D0FB">
        <w:tblPrEx>
          <w:tblCellMar>
            <w:top w:w="0" w:type="dxa"/>
            <w:left w:w="108" w:type="dxa"/>
            <w:bottom w:w="0" w:type="dxa"/>
            <w:right w:w="108" w:type="dxa"/>
          </w:tblCellMar>
        </w:tblPrEx>
        <w:trPr>
          <w:trHeight w:val="567" w:hRule="exact"/>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013D759F">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2DD5F38F">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03ED8188">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126" w:type="dxa"/>
            <w:tcBorders>
              <w:top w:val="single" w:color="000000" w:sz="12" w:space="0"/>
              <w:left w:val="single" w:color="000000" w:sz="4" w:space="0"/>
              <w:bottom w:val="single" w:color="000000" w:sz="4" w:space="0"/>
              <w:right w:val="single" w:color="000000" w:sz="12" w:space="0"/>
            </w:tcBorders>
            <w:noWrap/>
            <w:vAlign w:val="center"/>
          </w:tcPr>
          <w:p w14:paraId="498EEF72">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1FFF42D4">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151DFD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D04E67D">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00B29C6">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474E4022">
            <w:pPr>
              <w:wordWrap w:val="0"/>
              <w:spacing w:line="360" w:lineRule="auto"/>
              <w:rPr>
                <w:rFonts w:hint="eastAsia" w:ascii="仿宋" w:hAnsi="仿宋" w:eastAsia="仿宋" w:cs="仿宋"/>
                <w:color w:val="auto"/>
                <w:kern w:val="1"/>
              </w:rPr>
            </w:pPr>
          </w:p>
        </w:tc>
      </w:tr>
      <w:tr w14:paraId="72CE8AC1">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EB3846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7EB1E8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1FF53AC">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7B39C885">
            <w:pPr>
              <w:wordWrap w:val="0"/>
              <w:spacing w:line="360" w:lineRule="auto"/>
              <w:rPr>
                <w:rFonts w:hint="eastAsia" w:ascii="仿宋" w:hAnsi="仿宋" w:eastAsia="仿宋" w:cs="仿宋"/>
                <w:color w:val="auto"/>
                <w:kern w:val="1"/>
              </w:rPr>
            </w:pPr>
          </w:p>
        </w:tc>
      </w:tr>
      <w:tr w14:paraId="08AA5AA8">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8ADF270">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43ABB4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C2F9818">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68EA8983">
            <w:pPr>
              <w:wordWrap w:val="0"/>
              <w:spacing w:line="360" w:lineRule="auto"/>
              <w:rPr>
                <w:rFonts w:hint="eastAsia" w:ascii="仿宋" w:hAnsi="仿宋" w:eastAsia="仿宋" w:cs="仿宋"/>
                <w:color w:val="auto"/>
                <w:kern w:val="1"/>
              </w:rPr>
            </w:pPr>
          </w:p>
        </w:tc>
      </w:tr>
      <w:tr w14:paraId="1EDDDC19">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A64A05F">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1691EF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8D614B7">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57E59DA6">
            <w:pPr>
              <w:wordWrap w:val="0"/>
              <w:spacing w:line="360" w:lineRule="auto"/>
              <w:rPr>
                <w:rFonts w:hint="eastAsia" w:ascii="仿宋" w:hAnsi="仿宋" w:eastAsia="仿宋" w:cs="仿宋"/>
                <w:color w:val="auto"/>
                <w:kern w:val="1"/>
              </w:rPr>
            </w:pPr>
          </w:p>
        </w:tc>
      </w:tr>
      <w:tr w14:paraId="0123D21C">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051690C">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E37D385">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EBA46D9">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1B3CA8C8">
            <w:pPr>
              <w:wordWrap w:val="0"/>
              <w:spacing w:line="360" w:lineRule="auto"/>
              <w:rPr>
                <w:rFonts w:hint="eastAsia" w:ascii="仿宋" w:hAnsi="仿宋" w:eastAsia="仿宋" w:cs="仿宋"/>
                <w:color w:val="auto"/>
                <w:kern w:val="1"/>
              </w:rPr>
            </w:pPr>
          </w:p>
        </w:tc>
      </w:tr>
      <w:tr w14:paraId="3CAF6446">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6401A4B">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43D89D5">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7DDACD5">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0E3C5C58">
            <w:pPr>
              <w:wordWrap w:val="0"/>
              <w:spacing w:line="360" w:lineRule="auto"/>
              <w:rPr>
                <w:rFonts w:hint="eastAsia" w:ascii="仿宋" w:hAnsi="仿宋" w:eastAsia="仿宋" w:cs="仿宋"/>
                <w:color w:val="auto"/>
                <w:kern w:val="1"/>
              </w:rPr>
            </w:pPr>
          </w:p>
        </w:tc>
      </w:tr>
      <w:tr w14:paraId="5A88E188">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2FA6B622">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29A614FD">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637FF132">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12" w:space="0"/>
              <w:right w:val="single" w:color="000000" w:sz="12" w:space="0"/>
            </w:tcBorders>
            <w:noWrap/>
          </w:tcPr>
          <w:p w14:paraId="3E54E959">
            <w:pPr>
              <w:wordWrap w:val="0"/>
              <w:spacing w:line="360" w:lineRule="auto"/>
              <w:rPr>
                <w:rFonts w:hint="eastAsia" w:ascii="仿宋" w:hAnsi="仿宋" w:eastAsia="仿宋" w:cs="仿宋"/>
                <w:color w:val="auto"/>
                <w:kern w:val="1"/>
              </w:rPr>
            </w:pPr>
          </w:p>
        </w:tc>
      </w:tr>
    </w:tbl>
    <w:p w14:paraId="50411551">
      <w:pPr>
        <w:wordWrap w:val="0"/>
        <w:spacing w:line="360" w:lineRule="auto"/>
        <w:rPr>
          <w:rFonts w:hint="eastAsia" w:ascii="仿宋" w:hAnsi="仿宋" w:eastAsia="仿宋" w:cs="仿宋"/>
          <w:b/>
          <w:color w:val="auto"/>
          <w:spacing w:val="-1"/>
          <w:szCs w:val="21"/>
        </w:rPr>
      </w:pPr>
    </w:p>
    <w:p w14:paraId="6BDBA861">
      <w:pPr>
        <w:wordWrap w:val="0"/>
        <w:spacing w:line="360" w:lineRule="auto"/>
        <w:ind w:left="1" w:firstLine="422"/>
        <w:rPr>
          <w:rFonts w:hint="eastAsia" w:ascii="仿宋" w:hAnsi="仿宋" w:eastAsia="仿宋" w:cs="仿宋"/>
          <w:b/>
          <w:color w:val="auto"/>
          <w:spacing w:val="-1"/>
          <w:szCs w:val="21"/>
        </w:rPr>
      </w:pPr>
      <w:r>
        <w:rPr>
          <w:rFonts w:hint="eastAsia" w:ascii="仿宋" w:hAnsi="仿宋" w:eastAsia="仿宋" w:cs="仿宋"/>
          <w:b/>
          <w:color w:val="auto"/>
          <w:spacing w:val="-1"/>
          <w:szCs w:val="21"/>
        </w:rPr>
        <w:t xml:space="preserve">注： </w:t>
      </w:r>
    </w:p>
    <w:p w14:paraId="64D776EA">
      <w:pPr>
        <w:wordWrap w:val="0"/>
        <w:spacing w:line="360" w:lineRule="auto"/>
        <w:ind w:left="1" w:firstLine="422"/>
        <w:rPr>
          <w:rFonts w:hint="eastAsia" w:ascii="仿宋" w:hAnsi="仿宋" w:eastAsia="仿宋" w:cs="仿宋"/>
          <w:b/>
          <w:color w:val="auto"/>
          <w:szCs w:val="21"/>
        </w:rPr>
      </w:pPr>
      <w:r>
        <w:rPr>
          <w:rFonts w:hint="eastAsia" w:ascii="仿宋" w:hAnsi="仿宋" w:eastAsia="仿宋" w:cs="仿宋"/>
          <w:b/>
          <w:color w:val="auto"/>
          <w:spacing w:val="-1"/>
          <w:szCs w:val="21"/>
        </w:rPr>
        <w:t>1、本表只填写响应文件中与磋商文件有偏离（包括正偏离和负偏离）的内容，除本偏离表所列的偏离指标外，其他所有商务条款均完全响应“磋商文件”中的要求。</w:t>
      </w:r>
    </w:p>
    <w:p w14:paraId="38F9DB94">
      <w:pPr>
        <w:wordWrap w:val="0"/>
        <w:spacing w:line="360" w:lineRule="auto"/>
        <w:ind w:firstLine="422" w:firstLineChars="200"/>
        <w:jc w:val="left"/>
        <w:rPr>
          <w:rFonts w:hint="eastAsia" w:ascii="仿宋" w:hAnsi="仿宋" w:eastAsia="仿宋" w:cs="仿宋"/>
          <w:b/>
          <w:color w:val="auto"/>
          <w:szCs w:val="21"/>
        </w:rPr>
      </w:pPr>
      <w:r>
        <w:rPr>
          <w:rFonts w:hint="eastAsia" w:ascii="仿宋" w:hAnsi="仿宋" w:eastAsia="仿宋" w:cs="仿宋"/>
          <w:b/>
          <w:color w:val="auto"/>
          <w:szCs w:val="21"/>
        </w:rPr>
        <w:t>2、供应商必须据实填写，不得虚假响应，否则将取消其响应或成交资格，并按有关规定进行处罚。</w:t>
      </w:r>
    </w:p>
    <w:p w14:paraId="64699E2C">
      <w:pPr>
        <w:wordWrap w:val="0"/>
        <w:spacing w:line="360" w:lineRule="auto"/>
        <w:ind w:firstLine="480"/>
        <w:rPr>
          <w:rFonts w:hint="eastAsia" w:ascii="仿宋" w:hAnsi="仿宋" w:eastAsia="仿宋" w:cs="仿宋"/>
          <w:color w:val="auto"/>
          <w:kern w:val="1"/>
          <w:sz w:val="24"/>
        </w:rPr>
      </w:pPr>
    </w:p>
    <w:p w14:paraId="42E5DCE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07590289">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7CC2E91A">
      <w:pPr>
        <w:wordWrap w:val="0"/>
        <w:spacing w:line="360" w:lineRule="auto"/>
        <w:jc w:val="left"/>
        <w:rPr>
          <w:rFonts w:hint="eastAsia" w:ascii="仿宋" w:hAnsi="仿宋" w:eastAsia="仿宋" w:cs="仿宋"/>
          <w:color w:val="auto"/>
          <w:kern w:val="1"/>
          <w:sz w:val="24"/>
        </w:rPr>
        <w:sectPr>
          <w:headerReference r:id="rId28" w:type="first"/>
          <w:headerReference r:id="rId27" w:type="default"/>
          <w:footerReference r:id="rId29"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p>
    <w:p w14:paraId="5C759882">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格式2-8</w:t>
      </w:r>
    </w:p>
    <w:p w14:paraId="26689C0E">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30" w:name="_Toc23205"/>
      <w:bookmarkEnd w:id="30"/>
      <w:r>
        <w:rPr>
          <w:rFonts w:hint="eastAsia" w:ascii="仿宋" w:hAnsi="仿宋" w:eastAsia="仿宋" w:cs="仿宋"/>
          <w:b/>
          <w:color w:val="auto"/>
          <w:sz w:val="32"/>
          <w:szCs w:val="32"/>
        </w:rPr>
        <w:t>项目实施方案（格式自拟）</w:t>
      </w:r>
    </w:p>
    <w:p w14:paraId="16377CFC">
      <w:pPr>
        <w:wordWrap w:val="0"/>
        <w:spacing w:line="360" w:lineRule="auto"/>
        <w:jc w:val="left"/>
        <w:rPr>
          <w:rFonts w:hint="eastAsia" w:ascii="仿宋" w:hAnsi="仿宋" w:eastAsia="仿宋" w:cs="仿宋"/>
          <w:b/>
          <w:color w:val="auto"/>
          <w:sz w:val="35"/>
          <w:szCs w:val="35"/>
        </w:rPr>
      </w:pPr>
    </w:p>
    <w:p w14:paraId="69C2965A">
      <w:pPr>
        <w:wordWrap w:val="0"/>
        <w:spacing w:line="360" w:lineRule="auto"/>
        <w:jc w:val="left"/>
        <w:rPr>
          <w:rFonts w:hint="eastAsia" w:ascii="仿宋" w:hAnsi="仿宋" w:eastAsia="仿宋" w:cs="仿宋"/>
          <w:b/>
          <w:color w:val="auto"/>
          <w:sz w:val="24"/>
          <w:szCs w:val="24"/>
        </w:rPr>
      </w:pPr>
    </w:p>
    <w:p w14:paraId="690EED7C">
      <w:pPr>
        <w:wordWrap w:val="0"/>
        <w:spacing w:line="360" w:lineRule="auto"/>
        <w:jc w:val="left"/>
        <w:rPr>
          <w:rFonts w:hint="eastAsia" w:ascii="仿宋" w:hAnsi="仿宋" w:eastAsia="仿宋" w:cs="仿宋"/>
          <w:color w:val="auto"/>
          <w:sz w:val="24"/>
          <w:szCs w:val="24"/>
        </w:rPr>
      </w:pPr>
    </w:p>
    <w:p w14:paraId="7CB9925F">
      <w:pPr>
        <w:wordWrap w:val="0"/>
        <w:spacing w:line="360" w:lineRule="auto"/>
        <w:jc w:val="left"/>
        <w:rPr>
          <w:rFonts w:hint="eastAsia" w:ascii="仿宋" w:hAnsi="仿宋" w:eastAsia="仿宋" w:cs="仿宋"/>
          <w:color w:val="auto"/>
          <w:sz w:val="24"/>
          <w:szCs w:val="24"/>
        </w:rPr>
      </w:pPr>
    </w:p>
    <w:p w14:paraId="76314F07">
      <w:pPr>
        <w:wordWrap w:val="0"/>
        <w:spacing w:line="360" w:lineRule="auto"/>
        <w:jc w:val="left"/>
        <w:rPr>
          <w:rFonts w:hint="eastAsia" w:ascii="仿宋" w:hAnsi="仿宋" w:eastAsia="仿宋" w:cs="仿宋"/>
          <w:color w:val="auto"/>
          <w:sz w:val="24"/>
          <w:szCs w:val="24"/>
        </w:rPr>
      </w:pPr>
    </w:p>
    <w:p w14:paraId="5CB1BDF2">
      <w:pPr>
        <w:wordWrap w:val="0"/>
        <w:spacing w:line="360" w:lineRule="auto"/>
        <w:jc w:val="left"/>
        <w:rPr>
          <w:rFonts w:hint="eastAsia" w:ascii="仿宋" w:hAnsi="仿宋" w:eastAsia="仿宋" w:cs="仿宋"/>
          <w:color w:val="auto"/>
          <w:sz w:val="24"/>
          <w:szCs w:val="24"/>
        </w:rPr>
      </w:pPr>
    </w:p>
    <w:p w14:paraId="29D0D73D">
      <w:pPr>
        <w:wordWrap w:val="0"/>
        <w:spacing w:line="360" w:lineRule="auto"/>
        <w:jc w:val="left"/>
        <w:rPr>
          <w:rFonts w:hint="eastAsia" w:ascii="仿宋" w:hAnsi="仿宋" w:eastAsia="仿宋" w:cs="仿宋"/>
          <w:color w:val="auto"/>
          <w:sz w:val="24"/>
          <w:szCs w:val="24"/>
        </w:rPr>
      </w:pPr>
    </w:p>
    <w:p w14:paraId="4BDE0F55">
      <w:pPr>
        <w:wordWrap w:val="0"/>
        <w:spacing w:line="360" w:lineRule="auto"/>
        <w:jc w:val="left"/>
        <w:rPr>
          <w:rFonts w:hint="eastAsia" w:ascii="仿宋" w:hAnsi="仿宋" w:eastAsia="仿宋" w:cs="仿宋"/>
          <w:color w:val="auto"/>
          <w:sz w:val="24"/>
          <w:szCs w:val="24"/>
        </w:rPr>
      </w:pPr>
    </w:p>
    <w:p w14:paraId="20FF175B">
      <w:pPr>
        <w:wordWrap w:val="0"/>
        <w:spacing w:line="360" w:lineRule="auto"/>
        <w:jc w:val="left"/>
        <w:rPr>
          <w:rFonts w:hint="eastAsia" w:ascii="仿宋" w:hAnsi="仿宋" w:eastAsia="仿宋" w:cs="仿宋"/>
          <w:color w:val="auto"/>
          <w:sz w:val="24"/>
          <w:szCs w:val="24"/>
        </w:rPr>
      </w:pPr>
    </w:p>
    <w:p w14:paraId="752FD1FA">
      <w:pPr>
        <w:wordWrap w:val="0"/>
        <w:spacing w:line="360" w:lineRule="auto"/>
        <w:jc w:val="left"/>
        <w:rPr>
          <w:rFonts w:hint="eastAsia" w:ascii="仿宋" w:hAnsi="仿宋" w:eastAsia="仿宋" w:cs="仿宋"/>
          <w:color w:val="auto"/>
          <w:sz w:val="24"/>
          <w:szCs w:val="24"/>
        </w:rPr>
      </w:pPr>
    </w:p>
    <w:p w14:paraId="46974E71">
      <w:pPr>
        <w:wordWrap w:val="0"/>
        <w:spacing w:line="360" w:lineRule="auto"/>
        <w:jc w:val="left"/>
        <w:rPr>
          <w:rFonts w:hint="eastAsia" w:ascii="仿宋" w:hAnsi="仿宋" w:eastAsia="仿宋" w:cs="仿宋"/>
          <w:color w:val="auto"/>
          <w:sz w:val="24"/>
          <w:szCs w:val="24"/>
        </w:rPr>
      </w:pPr>
    </w:p>
    <w:p w14:paraId="35A9312C">
      <w:pPr>
        <w:wordWrap w:val="0"/>
        <w:spacing w:line="360" w:lineRule="auto"/>
        <w:jc w:val="left"/>
        <w:rPr>
          <w:rFonts w:hint="eastAsia" w:ascii="仿宋" w:hAnsi="仿宋" w:eastAsia="仿宋" w:cs="仿宋"/>
          <w:color w:val="auto"/>
          <w:sz w:val="24"/>
          <w:szCs w:val="24"/>
        </w:rPr>
      </w:pPr>
    </w:p>
    <w:p w14:paraId="36D042F2">
      <w:pPr>
        <w:wordWrap w:val="0"/>
        <w:spacing w:line="360" w:lineRule="auto"/>
        <w:jc w:val="left"/>
        <w:rPr>
          <w:rFonts w:hint="eastAsia" w:ascii="仿宋" w:hAnsi="仿宋" w:eastAsia="仿宋" w:cs="仿宋"/>
          <w:color w:val="auto"/>
          <w:sz w:val="24"/>
          <w:szCs w:val="24"/>
        </w:rPr>
      </w:pPr>
    </w:p>
    <w:p w14:paraId="6EA50F35">
      <w:pPr>
        <w:wordWrap w:val="0"/>
        <w:spacing w:line="360" w:lineRule="auto"/>
        <w:jc w:val="left"/>
        <w:rPr>
          <w:rFonts w:hint="eastAsia" w:ascii="仿宋" w:hAnsi="仿宋" w:eastAsia="仿宋" w:cs="仿宋"/>
          <w:color w:val="auto"/>
          <w:sz w:val="24"/>
          <w:szCs w:val="24"/>
        </w:rPr>
      </w:pPr>
    </w:p>
    <w:p w14:paraId="4D456787">
      <w:pPr>
        <w:wordWrap w:val="0"/>
        <w:spacing w:line="360" w:lineRule="auto"/>
        <w:jc w:val="left"/>
        <w:rPr>
          <w:rFonts w:hint="eastAsia" w:ascii="仿宋" w:hAnsi="仿宋" w:eastAsia="仿宋" w:cs="仿宋"/>
          <w:color w:val="auto"/>
          <w:sz w:val="24"/>
          <w:szCs w:val="24"/>
        </w:rPr>
      </w:pPr>
    </w:p>
    <w:p w14:paraId="7AA188DF">
      <w:pPr>
        <w:wordWrap w:val="0"/>
        <w:spacing w:line="360" w:lineRule="auto"/>
        <w:jc w:val="left"/>
        <w:rPr>
          <w:rFonts w:hint="eastAsia" w:ascii="仿宋" w:hAnsi="仿宋" w:eastAsia="仿宋" w:cs="仿宋"/>
          <w:color w:val="auto"/>
          <w:sz w:val="24"/>
          <w:szCs w:val="24"/>
        </w:rPr>
      </w:pPr>
    </w:p>
    <w:p w14:paraId="220CC342">
      <w:pPr>
        <w:wordWrap w:val="0"/>
        <w:spacing w:line="360" w:lineRule="auto"/>
        <w:jc w:val="left"/>
        <w:rPr>
          <w:rFonts w:hint="eastAsia" w:ascii="仿宋" w:hAnsi="仿宋" w:eastAsia="仿宋" w:cs="仿宋"/>
          <w:color w:val="auto"/>
          <w:sz w:val="24"/>
          <w:szCs w:val="24"/>
        </w:rPr>
      </w:pPr>
    </w:p>
    <w:p w14:paraId="5EAB7259">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24EA316">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DD36C44">
      <w:pPr>
        <w:wordWrap w:val="0"/>
        <w:spacing w:line="360" w:lineRule="auto"/>
        <w:jc w:val="left"/>
        <w:rPr>
          <w:rFonts w:hint="eastAsia" w:ascii="仿宋" w:hAnsi="仿宋" w:eastAsia="仿宋" w:cs="仿宋"/>
          <w:color w:val="auto"/>
          <w:kern w:val="1"/>
          <w:sz w:val="24"/>
        </w:rPr>
        <w:sectPr>
          <w:headerReference r:id="rId30"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r>
        <w:rPr>
          <w:rFonts w:hint="eastAsia" w:ascii="仿宋" w:hAnsi="仿宋" w:eastAsia="仿宋" w:cs="仿宋"/>
          <w:color w:val="auto"/>
          <w:sz w:val="24"/>
        </w:rPr>
        <w:t>：</w:t>
      </w:r>
    </w:p>
    <w:p w14:paraId="42ED4E7C">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32"/>
          <w:szCs w:val="32"/>
        </w:rPr>
        <w:t>格式2-9</w:t>
      </w:r>
    </w:p>
    <w:p w14:paraId="24E8C676">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31" w:name="_Toc31400"/>
      <w:bookmarkEnd w:id="31"/>
      <w:r>
        <w:rPr>
          <w:rFonts w:hint="eastAsia" w:ascii="仿宋" w:hAnsi="仿宋" w:eastAsia="仿宋" w:cs="仿宋"/>
          <w:b/>
          <w:color w:val="auto"/>
          <w:sz w:val="32"/>
          <w:szCs w:val="32"/>
        </w:rPr>
        <w:t>其他有关材料（格式自拟）</w:t>
      </w:r>
      <w:bookmarkStart w:id="32" w:name="_Toc25272"/>
      <w:bookmarkEnd w:id="32"/>
    </w:p>
    <w:p w14:paraId="1112676D">
      <w:pPr>
        <w:widowControl/>
        <w:wordWrap w:val="0"/>
        <w:spacing w:line="360" w:lineRule="auto"/>
        <w:jc w:val="center"/>
        <w:outlineLvl w:val="1"/>
        <w:rPr>
          <w:rFonts w:hint="eastAsia" w:ascii="仿宋" w:hAnsi="仿宋" w:eastAsia="仿宋" w:cs="仿宋"/>
          <w:color w:val="auto"/>
          <w:kern w:val="1"/>
        </w:rPr>
      </w:pPr>
      <w:r>
        <w:rPr>
          <w:rFonts w:hint="eastAsia" w:ascii="仿宋" w:hAnsi="仿宋" w:eastAsia="仿宋" w:cs="仿宋"/>
          <w:color w:val="auto"/>
        </w:rPr>
        <w:br w:type="page"/>
      </w:r>
      <w:r>
        <w:rPr>
          <w:rFonts w:hint="eastAsia" w:ascii="仿宋" w:hAnsi="仿宋" w:eastAsia="仿宋" w:cs="仿宋"/>
          <w:b/>
          <w:color w:val="auto"/>
          <w:sz w:val="32"/>
          <w:szCs w:val="32"/>
        </w:rPr>
        <w:t>第三部分  最终报价函</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824"/>
        <w:gridCol w:w="5298"/>
      </w:tblGrid>
      <w:tr w14:paraId="4AA60B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824" w:type="dxa"/>
            <w:noWrap/>
            <w:vAlign w:val="center"/>
          </w:tcPr>
          <w:p w14:paraId="0A1669D0">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项目名称</w:t>
            </w:r>
          </w:p>
        </w:tc>
        <w:tc>
          <w:tcPr>
            <w:tcW w:w="5298" w:type="dxa"/>
            <w:noWrap/>
            <w:vAlign w:val="center"/>
          </w:tcPr>
          <w:p w14:paraId="18E6004B">
            <w:pPr>
              <w:wordWrap w:val="0"/>
              <w:jc w:val="center"/>
              <w:rPr>
                <w:rFonts w:hint="eastAsia" w:ascii="仿宋" w:hAnsi="仿宋" w:eastAsia="仿宋" w:cs="仿宋"/>
                <w:color w:val="000000" w:themeColor="text1"/>
                <w:kern w:val="2"/>
                <w:sz w:val="24"/>
                <w:szCs w:val="24"/>
                <w14:textFill>
                  <w14:solidFill>
                    <w14:schemeClr w14:val="tx1"/>
                  </w14:solidFill>
                </w14:textFill>
              </w:rPr>
            </w:pPr>
          </w:p>
        </w:tc>
      </w:tr>
      <w:tr w14:paraId="2A9390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824" w:type="dxa"/>
            <w:noWrap/>
            <w:vAlign w:val="center"/>
          </w:tcPr>
          <w:p w14:paraId="5F1E6C31">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采购项目编号</w:t>
            </w:r>
          </w:p>
        </w:tc>
        <w:tc>
          <w:tcPr>
            <w:tcW w:w="5298" w:type="dxa"/>
            <w:noWrap/>
            <w:vAlign w:val="center"/>
          </w:tcPr>
          <w:p w14:paraId="2D2975A9">
            <w:pPr>
              <w:wordWrap w:val="0"/>
              <w:rPr>
                <w:rFonts w:hint="eastAsia" w:ascii="仿宋" w:hAnsi="仿宋" w:eastAsia="仿宋" w:cs="仿宋"/>
                <w:color w:val="000000" w:themeColor="text1"/>
                <w:kern w:val="2"/>
                <w:sz w:val="24"/>
                <w:szCs w:val="24"/>
                <w14:textFill>
                  <w14:solidFill>
                    <w14:schemeClr w14:val="tx1"/>
                  </w14:solidFill>
                </w14:textFill>
              </w:rPr>
            </w:pPr>
          </w:p>
        </w:tc>
      </w:tr>
      <w:tr w14:paraId="55FDD2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824" w:type="dxa"/>
            <w:noWrap/>
            <w:vAlign w:val="center"/>
          </w:tcPr>
          <w:p w14:paraId="7A17F8F0">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项目服务时间</w:t>
            </w:r>
          </w:p>
        </w:tc>
        <w:tc>
          <w:tcPr>
            <w:tcW w:w="5298" w:type="dxa"/>
            <w:noWrap/>
            <w:vAlign w:val="center"/>
          </w:tcPr>
          <w:p w14:paraId="04B60581">
            <w:pPr>
              <w:wordWrap w:val="0"/>
              <w:rPr>
                <w:rFonts w:hint="eastAsia" w:ascii="仿宋" w:hAnsi="仿宋" w:eastAsia="仿宋" w:cs="仿宋"/>
                <w:color w:val="000000" w:themeColor="text1"/>
                <w:kern w:val="2"/>
                <w:sz w:val="24"/>
                <w:szCs w:val="24"/>
                <w14:textFill>
                  <w14:solidFill>
                    <w14:schemeClr w14:val="tx1"/>
                  </w14:solidFill>
                </w14:textFill>
              </w:rPr>
            </w:pPr>
          </w:p>
        </w:tc>
      </w:tr>
      <w:tr w14:paraId="50055E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134" w:hRule="atLeast"/>
          <w:jc w:val="center"/>
        </w:trPr>
        <w:tc>
          <w:tcPr>
            <w:tcW w:w="2824" w:type="dxa"/>
            <w:noWrap/>
            <w:vAlign w:val="center"/>
          </w:tcPr>
          <w:p w14:paraId="0573BCB2">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报价（统一折扣率）</w:t>
            </w:r>
          </w:p>
        </w:tc>
        <w:tc>
          <w:tcPr>
            <w:tcW w:w="5298" w:type="dxa"/>
            <w:noWrap/>
            <w:vAlign w:val="center"/>
          </w:tcPr>
          <w:p w14:paraId="441AB7AE">
            <w:pPr>
              <w:wordWrap w:val="0"/>
              <w:spacing w:line="360" w:lineRule="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 xml:space="preserve"> </w:t>
            </w:r>
            <w:r>
              <w:rPr>
                <w:rFonts w:hint="eastAsia" w:ascii="仿宋" w:hAnsi="仿宋" w:eastAsia="仿宋" w:cs="仿宋"/>
                <w:color w:val="000000" w:themeColor="text1"/>
                <w:kern w:val="2"/>
                <w:sz w:val="24"/>
                <w:szCs w:val="24"/>
                <w:u w:val="single"/>
                <w14:textFill>
                  <w14:solidFill>
                    <w14:schemeClr w14:val="tx1"/>
                  </w14:solidFill>
                </w14:textFill>
              </w:rPr>
              <w:t xml:space="preserve">          </w:t>
            </w:r>
            <w:r>
              <w:rPr>
                <w:rFonts w:hint="eastAsia" w:ascii="仿宋" w:hAnsi="仿宋" w:eastAsia="仿宋" w:cs="仿宋"/>
                <w:color w:val="000000" w:themeColor="text1"/>
                <w:kern w:val="2"/>
                <w:sz w:val="24"/>
                <w:szCs w:val="24"/>
                <w14:textFill>
                  <w14:solidFill>
                    <w14:schemeClr w14:val="tx1"/>
                  </w14:solidFill>
                </w14:textFill>
              </w:rPr>
              <w:t xml:space="preserve">%    </w:t>
            </w:r>
          </w:p>
        </w:tc>
      </w:tr>
    </w:tbl>
    <w:p w14:paraId="7913FC4C">
      <w:pPr>
        <w:wordWrap w:val="0"/>
        <w:spacing w:line="360" w:lineRule="auto"/>
        <w:jc w:val="left"/>
        <w:rPr>
          <w:rFonts w:hint="eastAsia" w:ascii="仿宋" w:hAnsi="仿宋" w:eastAsia="仿宋" w:cs="仿宋"/>
          <w:color w:val="auto"/>
          <w:sz w:val="22"/>
          <w:szCs w:val="21"/>
        </w:rPr>
      </w:pPr>
    </w:p>
    <w:p w14:paraId="0EC2F788">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注：1.所有报价均用人民币表示, 所报价格是供应商响应项目要求全部工作内容的价格体现，包括供应商完成本项目所需的一切费用以及磋商文件规定的其他费用均应包含在报价中。</w:t>
      </w:r>
    </w:p>
    <w:p w14:paraId="689EE310">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2.服务期内结算价格=基准价×折扣率。</w:t>
      </w:r>
    </w:p>
    <w:p w14:paraId="3279C1AB">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3.基准价：采购人与供应商双方每月协商时间进行一次食材市场询价。</w:t>
      </w:r>
    </w:p>
    <w:p w14:paraId="04078355">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4.本项目基准价以成都市发改委官方网站公布的《主城区18个农贸市场主副食品零售价格表》为基准价,成都市发改委官方网站公布没有的商品；供需双方共同到附近大型商超（折扣商品除外）或农贸市场询价；</w:t>
      </w:r>
    </w:p>
    <w:p w14:paraId="2F460EEC">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5.折扣率的计算方式为：如：供应商在投标时的统一折扣率为80%，单价限价为100元，则结算价格为：100元×80%＝80元。</w:t>
      </w:r>
    </w:p>
    <w:p w14:paraId="2DB752AC">
      <w:pPr>
        <w:pStyle w:val="2"/>
        <w:wordWrap w:val="0"/>
        <w:rPr>
          <w:rFonts w:hint="eastAsia" w:ascii="仿宋" w:hAnsi="仿宋" w:eastAsia="仿宋" w:cs="仿宋"/>
          <w:color w:val="auto"/>
        </w:rPr>
      </w:pPr>
    </w:p>
    <w:p w14:paraId="6CEB4947">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19671CD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23CAE556">
      <w:pPr>
        <w:wordWrap w:val="0"/>
        <w:spacing w:line="360" w:lineRule="auto"/>
        <w:rPr>
          <w:rFonts w:hint="eastAsia" w:ascii="仿宋" w:hAnsi="仿宋" w:eastAsia="仿宋" w:cs="仿宋"/>
          <w:color w:val="auto"/>
          <w:sz w:val="24"/>
        </w:rPr>
      </w:pPr>
      <w:r>
        <w:rPr>
          <w:rFonts w:hint="eastAsia" w:ascii="仿宋" w:hAnsi="仿宋" w:eastAsia="仿宋" w:cs="仿宋"/>
          <w:color w:val="auto"/>
          <w:sz w:val="24"/>
        </w:rPr>
        <w:t>日期：</w:t>
      </w:r>
    </w:p>
    <w:p w14:paraId="39CCDDAC">
      <w:pPr>
        <w:wordWrap w:val="0"/>
        <w:spacing w:line="360" w:lineRule="auto"/>
        <w:rPr>
          <w:rFonts w:hint="eastAsia" w:ascii="仿宋" w:hAnsi="仿宋" w:eastAsia="仿宋" w:cs="仿宋"/>
          <w:b/>
          <w:color w:val="auto"/>
          <w:sz w:val="22"/>
          <w:szCs w:val="21"/>
        </w:rPr>
      </w:pPr>
    </w:p>
    <w:p w14:paraId="0360E9A1">
      <w:pPr>
        <w:wordWrap w:val="0"/>
        <w:spacing w:line="360" w:lineRule="auto"/>
        <w:rPr>
          <w:rFonts w:hint="eastAsia" w:ascii="仿宋" w:hAnsi="仿宋" w:eastAsia="仿宋" w:cs="仿宋"/>
          <w:b/>
          <w:color w:val="auto"/>
          <w:sz w:val="22"/>
          <w:szCs w:val="21"/>
        </w:rPr>
        <w:sectPr>
          <w:headerReference r:id="rId31" w:type="default"/>
          <w:pgSz w:w="11911" w:h="16838"/>
          <w:pgMar w:top="1440" w:right="1418" w:bottom="1440" w:left="1418" w:header="851" w:footer="992" w:gutter="0"/>
          <w:cols w:space="720" w:num="1"/>
        </w:sectPr>
      </w:pPr>
      <w:r>
        <w:rPr>
          <w:rFonts w:hint="eastAsia" w:ascii="仿宋" w:hAnsi="仿宋" w:eastAsia="仿宋" w:cs="仿宋"/>
          <w:b/>
          <w:color w:val="auto"/>
          <w:sz w:val="22"/>
          <w:szCs w:val="21"/>
        </w:rPr>
        <w:t>特别提醒：最终报价函应密封提交；响应人需现场填写最终报价的，应自行准备密封袋。</w:t>
      </w:r>
    </w:p>
    <w:p w14:paraId="37EF664F">
      <w:pPr>
        <w:pStyle w:val="4"/>
        <w:wordWrap w:val="0"/>
        <w:spacing w:before="0" w:after="0" w:line="360" w:lineRule="auto"/>
        <w:rPr>
          <w:rFonts w:hint="eastAsia" w:ascii="仿宋" w:hAnsi="仿宋" w:eastAsia="仿宋" w:cs="仿宋"/>
          <w:color w:val="auto"/>
        </w:rPr>
      </w:pPr>
      <w:bookmarkStart w:id="33" w:name="_Toc22923"/>
      <w:r>
        <w:rPr>
          <w:rFonts w:hint="eastAsia" w:ascii="仿宋" w:hAnsi="仿宋" w:eastAsia="仿宋" w:cs="仿宋"/>
          <w:color w:val="auto"/>
        </w:rPr>
        <w:t>第八章 采购合同须知</w:t>
      </w:r>
      <w:bookmarkEnd w:id="33"/>
    </w:p>
    <w:p w14:paraId="7634AD9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1、采购人与成交供应商应当在成交通知书发出之日起30日内，依据采购文件、响应文件以及评审、商定过程中确定的事项签订采购合同。</w:t>
      </w:r>
    </w:p>
    <w:p w14:paraId="5DF4E30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购人和成交供应商除应当对规定的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 权利义务在采购合同中充分体现。</w:t>
      </w:r>
    </w:p>
    <w:p w14:paraId="16B68DF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3、采购人和成交供应商之间约定的权利义务，不得改变采购文件的规定要求、响应文件和评审、商定过程中的响应承诺范围。</w:t>
      </w:r>
    </w:p>
    <w:p w14:paraId="746FF67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采购人拒绝在规定时间内签订采购合同的，成交供应商可以依照有关民事法律的规定进行司法救济。成交供应商拒绝与采购人签订合同的，采购人可以按照评审报告推荐的成交候选供应商排序，确定下一位成交候选供应商为成交供应商，也可以重新开展采购活动。</w:t>
      </w:r>
    </w:p>
    <w:p w14:paraId="064F41F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5、采购合同签订后，成交供应商应当严格按照采购合同的约定履约，保证 质量，不得拖延、降低标准、以次充好、弄虚作假。</w:t>
      </w:r>
    </w:p>
    <w:p w14:paraId="29A2A1F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6、成交供应商履约结束后，采购人应当参照我省规定的程序要求进行验收。</w:t>
      </w:r>
    </w:p>
    <w:p w14:paraId="5F2D00AF">
      <w:pPr>
        <w:widowControl/>
        <w:wordWrap w:val="0"/>
        <w:spacing w:line="360" w:lineRule="auto"/>
        <w:ind w:firstLine="480"/>
        <w:jc w:val="left"/>
        <w:rPr>
          <w:rFonts w:hint="eastAsia" w:ascii="仿宋" w:hAnsi="仿宋" w:eastAsia="仿宋" w:cs="仿宋"/>
          <w:color w:val="auto"/>
          <w:kern w:val="1"/>
          <w:sz w:val="24"/>
          <w:szCs w:val="24"/>
        </w:rPr>
        <w:sectPr>
          <w:pgSz w:w="11906" w:h="16838"/>
          <w:pgMar w:top="1440" w:right="1800" w:bottom="1440" w:left="1800" w:header="851" w:footer="992" w:gutter="0"/>
          <w:cols w:space="720" w:num="1"/>
        </w:sectPr>
      </w:pPr>
      <w:r>
        <w:rPr>
          <w:rFonts w:hint="eastAsia" w:ascii="仿宋" w:hAnsi="仿宋" w:eastAsia="仿宋" w:cs="仿宋"/>
          <w:color w:val="auto"/>
          <w:kern w:val="1"/>
          <w:sz w:val="24"/>
          <w:szCs w:val="24"/>
        </w:rPr>
        <w:t>7、采购人应当按照采购合同约定，及时向成交供应商支付采购资金。</w:t>
      </w:r>
    </w:p>
    <w:p w14:paraId="5C8025FE">
      <w:pPr>
        <w:pStyle w:val="4"/>
        <w:wordWrap w:val="0"/>
        <w:spacing w:before="0" w:after="156" w:afterLines="50" w:line="360" w:lineRule="auto"/>
        <w:rPr>
          <w:rFonts w:hint="eastAsia" w:ascii="宋体" w:hAnsi="宋体" w:cs="宋体"/>
          <w:color w:val="auto"/>
        </w:rPr>
      </w:pPr>
      <w:bookmarkStart w:id="34" w:name="_Toc22446"/>
      <w:bookmarkStart w:id="35" w:name="_Toc18218"/>
      <w:bookmarkStart w:id="36" w:name="_Toc18177"/>
      <w:r>
        <w:rPr>
          <w:rFonts w:hint="eastAsia" w:ascii="仿宋" w:hAnsi="仿宋" w:eastAsia="仿宋" w:cs="仿宋"/>
          <w:color w:val="auto"/>
        </w:rPr>
        <w:t>第九章 合同主要条款（仅供参考）</w:t>
      </w:r>
      <w:bookmarkEnd w:id="34"/>
      <w:bookmarkEnd w:id="35"/>
      <w:bookmarkEnd w:id="36"/>
      <w:bookmarkStart w:id="37" w:name="_Toc14063"/>
      <w:bookmarkStart w:id="38" w:name="_Toc508800738"/>
    </w:p>
    <w:bookmarkEnd w:id="37"/>
    <w:bookmarkEnd w:id="38"/>
    <w:p w14:paraId="3B3E7B1C">
      <w:pPr>
        <w:snapToGrid w:val="0"/>
        <w:spacing w:line="360" w:lineRule="auto"/>
        <w:rPr>
          <w:rFonts w:hint="eastAsia" w:ascii="仿宋" w:hAnsi="仿宋" w:eastAsia="仿宋" w:cs="仿宋"/>
          <w:b/>
          <w:bCs/>
          <w:sz w:val="24"/>
        </w:rPr>
      </w:pPr>
      <w:r>
        <w:rPr>
          <w:rFonts w:hint="eastAsia" w:ascii="仿宋" w:hAnsi="仿宋" w:eastAsia="仿宋" w:cs="仿宋"/>
          <w:b/>
          <w:bCs/>
          <w:sz w:val="24"/>
        </w:rPr>
        <w:t xml:space="preserve">合同编号： </w:t>
      </w:r>
    </w:p>
    <w:p w14:paraId="6705A1FC">
      <w:pPr>
        <w:snapToGrid w:val="0"/>
        <w:spacing w:line="360" w:lineRule="auto"/>
        <w:rPr>
          <w:rFonts w:hint="eastAsia" w:ascii="仿宋" w:hAnsi="仿宋" w:eastAsia="仿宋" w:cs="仿宋"/>
          <w:b/>
          <w:bCs/>
          <w:sz w:val="24"/>
        </w:rPr>
      </w:pPr>
      <w:r>
        <w:rPr>
          <w:rFonts w:hint="eastAsia" w:ascii="仿宋" w:hAnsi="仿宋" w:eastAsia="仿宋" w:cs="仿宋"/>
          <w:b/>
          <w:bCs/>
          <w:sz w:val="24"/>
        </w:rPr>
        <w:t>签订地点：</w:t>
      </w:r>
    </w:p>
    <w:p w14:paraId="5E241EF4">
      <w:pPr>
        <w:snapToGrid w:val="0"/>
        <w:spacing w:line="360" w:lineRule="auto"/>
        <w:rPr>
          <w:rFonts w:hint="eastAsia" w:ascii="仿宋" w:hAnsi="仿宋" w:eastAsia="仿宋" w:cs="仿宋"/>
          <w:b/>
          <w:bCs/>
          <w:sz w:val="24"/>
        </w:rPr>
      </w:pPr>
      <w:r>
        <w:rPr>
          <w:rFonts w:hint="eastAsia" w:ascii="仿宋" w:hAnsi="仿宋" w:eastAsia="仿宋" w:cs="仿宋"/>
          <w:b/>
          <w:bCs/>
          <w:sz w:val="24"/>
        </w:rPr>
        <w:t>签订时间：      年   月   日。</w:t>
      </w:r>
    </w:p>
    <w:p w14:paraId="2AC471C0">
      <w:pPr>
        <w:snapToGrid w:val="0"/>
        <w:spacing w:line="360" w:lineRule="auto"/>
        <w:rPr>
          <w:rFonts w:hint="eastAsia" w:ascii="仿宋" w:hAnsi="仿宋" w:eastAsia="仿宋" w:cs="仿宋"/>
          <w:b/>
          <w:bCs/>
          <w:sz w:val="24"/>
          <w:u w:val="single"/>
        </w:rPr>
      </w:pPr>
      <w:r>
        <w:rPr>
          <w:rFonts w:hint="eastAsia" w:ascii="仿宋" w:hAnsi="仿宋" w:eastAsia="仿宋" w:cs="仿宋"/>
          <w:b/>
          <w:bCs/>
          <w:sz w:val="24"/>
        </w:rPr>
        <w:t>采购人（甲方）：</w:t>
      </w:r>
      <w:r>
        <w:rPr>
          <w:rFonts w:hint="eastAsia" w:ascii="仿宋" w:hAnsi="仿宋" w:eastAsia="仿宋" w:cs="仿宋"/>
          <w:b/>
          <w:bCs/>
          <w:sz w:val="24"/>
          <w:u w:val="single"/>
        </w:rPr>
        <w:t xml:space="preserve">                              </w:t>
      </w:r>
    </w:p>
    <w:p w14:paraId="4D4C96EF">
      <w:pPr>
        <w:snapToGrid w:val="0"/>
        <w:spacing w:line="360" w:lineRule="auto"/>
        <w:rPr>
          <w:rFonts w:hint="eastAsia" w:ascii="仿宋" w:hAnsi="仿宋" w:eastAsia="仿宋" w:cs="仿宋"/>
          <w:sz w:val="24"/>
          <w:u w:val="single"/>
        </w:rPr>
      </w:pPr>
      <w:r>
        <w:rPr>
          <w:rFonts w:hint="eastAsia" w:ascii="仿宋" w:hAnsi="仿宋" w:eastAsia="仿宋" w:cs="仿宋"/>
          <w:b/>
          <w:bCs/>
          <w:sz w:val="24"/>
        </w:rPr>
        <w:t>供应商（乙方）：</w:t>
      </w:r>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p>
    <w:p w14:paraId="0E4733E8">
      <w:pPr>
        <w:snapToGrid w:val="0"/>
        <w:spacing w:line="360" w:lineRule="auto"/>
        <w:ind w:firstLine="480" w:firstLineChars="200"/>
        <w:rPr>
          <w:rFonts w:hint="eastAsia" w:ascii="仿宋" w:hAnsi="仿宋" w:eastAsia="仿宋" w:cs="仿宋"/>
          <w:sz w:val="24"/>
        </w:rPr>
      </w:pPr>
    </w:p>
    <w:p w14:paraId="5C9F000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依据《中华人民共和国民法典》、《中华人民共和国政府采购法》与项目行业有关的法律法规，以及</w:t>
      </w:r>
      <w:r>
        <w:rPr>
          <w:rFonts w:hint="eastAsia" w:ascii="仿宋" w:hAnsi="仿宋" w:eastAsia="仿宋" w:cs="仿宋"/>
          <w:sz w:val="24"/>
          <w:u w:val="single"/>
        </w:rPr>
        <w:t xml:space="preserve">         </w:t>
      </w:r>
      <w:r>
        <w:rPr>
          <w:rFonts w:hint="eastAsia" w:ascii="仿宋" w:hAnsi="仿宋" w:eastAsia="仿宋" w:cs="仿宋"/>
          <w:sz w:val="24"/>
        </w:rPr>
        <w:t>采购项目（采购</w:t>
      </w:r>
      <w:r>
        <w:rPr>
          <w:rFonts w:hint="eastAsia" w:ascii="仿宋" w:hAnsi="仿宋" w:eastAsia="仿宋" w:cs="仿宋"/>
          <w:sz w:val="24"/>
          <w:lang w:eastAsia="zh-CN"/>
        </w:rPr>
        <w:t>项目编号：SCSWZBB-2026-007</w:t>
      </w:r>
      <w:r>
        <w:rPr>
          <w:rFonts w:hint="eastAsia" w:ascii="仿宋" w:hAnsi="仿宋" w:eastAsia="仿宋" w:cs="仿宋"/>
          <w:sz w:val="24"/>
        </w:rPr>
        <w:t xml:space="preserve">）的《磋商文件》，乙方的《响应文件》及《成交通知书》，甲、乙双方同意签订本合同。详细技术说明及其他有关合同项目的特定信息由合同附件予以说明，合同附件及本项目的《磋商文件》、《响应文件》、《成交通知书》等均为本合同的组成部分。 </w:t>
      </w:r>
    </w:p>
    <w:p w14:paraId="5AD107F3">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第一条 项目基本情况</w:t>
      </w:r>
    </w:p>
    <w:p w14:paraId="202AD556">
      <w:pPr>
        <w:snapToGrid w:val="0"/>
        <w:spacing w:line="360" w:lineRule="auto"/>
        <w:rPr>
          <w:rFonts w:hint="eastAsia" w:ascii="仿宋" w:hAnsi="仿宋" w:eastAsia="仿宋" w:cs="仿宋"/>
          <w:sz w:val="24"/>
          <w:u w:val="single"/>
        </w:rPr>
      </w:pPr>
      <w:r>
        <w:rPr>
          <w:rFonts w:hint="eastAsia" w:ascii="仿宋" w:hAnsi="仿宋" w:eastAsia="仿宋" w:cs="仿宋"/>
          <w:sz w:val="24"/>
        </w:rPr>
        <w:t xml:space="preserve">__________________________________________。 </w:t>
      </w:r>
    </w:p>
    <w:p w14:paraId="264718D7">
      <w:pPr>
        <w:snapToGrid w:val="0"/>
        <w:spacing w:line="360" w:lineRule="auto"/>
        <w:outlineLvl w:val="1"/>
        <w:rPr>
          <w:rFonts w:hint="eastAsia" w:ascii="仿宋" w:hAnsi="仿宋" w:eastAsia="仿宋" w:cs="仿宋"/>
          <w:b/>
          <w:sz w:val="24"/>
        </w:rPr>
      </w:pPr>
      <w:r>
        <w:rPr>
          <w:rFonts w:hint="eastAsia" w:ascii="仿宋" w:hAnsi="仿宋" w:eastAsia="仿宋" w:cs="仿宋"/>
          <w:b/>
          <w:bCs/>
          <w:sz w:val="24"/>
        </w:rPr>
        <w:t xml:space="preserve">第二条 </w:t>
      </w:r>
      <w:r>
        <w:rPr>
          <w:rFonts w:hint="eastAsia" w:ascii="仿宋" w:hAnsi="仿宋" w:eastAsia="仿宋" w:cs="仿宋"/>
          <w:b/>
          <w:sz w:val="24"/>
        </w:rPr>
        <w:t>合同期限</w:t>
      </w:r>
    </w:p>
    <w:p w14:paraId="1090A65B">
      <w:pPr>
        <w:snapToGrid w:val="0"/>
        <w:spacing w:line="360" w:lineRule="auto"/>
        <w:rPr>
          <w:rFonts w:hint="eastAsia" w:ascii="仿宋" w:hAnsi="仿宋" w:eastAsia="仿宋" w:cs="仿宋"/>
          <w:sz w:val="24"/>
        </w:rPr>
      </w:pPr>
      <w:bookmarkStart w:id="39" w:name="_Toc211854449"/>
      <w:bookmarkStart w:id="40" w:name="_Toc239568418"/>
      <w:bookmarkStart w:id="41" w:name="_Toc286993786"/>
      <w:bookmarkStart w:id="42" w:name="_Toc225244852"/>
      <w:bookmarkStart w:id="43" w:name="_Toc247334841"/>
      <w:bookmarkStart w:id="44" w:name="_Toc237145406"/>
      <w:bookmarkStart w:id="45" w:name="_Toc211911348"/>
      <w:bookmarkStart w:id="46" w:name="_Toc239233914"/>
      <w:bookmarkStart w:id="47" w:name="_Toc241833903"/>
      <w:bookmarkStart w:id="48" w:name="_Toc283019214"/>
      <w:bookmarkStart w:id="49" w:name="_Toc251768862"/>
      <w:bookmarkStart w:id="50" w:name="_Toc185395249"/>
      <w:bookmarkStart w:id="51" w:name="_Toc232492928"/>
      <w:bookmarkStart w:id="52" w:name="_Toc212019594"/>
      <w:bookmarkStart w:id="53" w:name="_Toc225670751"/>
      <w:bookmarkStart w:id="54" w:name="_Toc282696226"/>
      <w:bookmarkStart w:id="55" w:name="_Toc238984975"/>
      <w:bookmarkStart w:id="56" w:name="_Toc225654644"/>
      <w:r>
        <w:rPr>
          <w:rFonts w:hint="eastAsia" w:ascii="仿宋" w:hAnsi="仿宋" w:eastAsia="仿宋" w:cs="仿宋"/>
          <w:sz w:val="24"/>
        </w:rPr>
        <w:t>__________________________________________。</w:t>
      </w:r>
    </w:p>
    <w:p w14:paraId="184AB805">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第三条 服务内容与质量标准</w:t>
      </w:r>
    </w:p>
    <w:p w14:paraId="05824BD2">
      <w:pPr>
        <w:snapToGrid w:val="0"/>
        <w:spacing w:line="360" w:lineRule="auto"/>
        <w:rPr>
          <w:rFonts w:hint="eastAsia" w:ascii="仿宋" w:hAnsi="仿宋" w:eastAsia="仿宋" w:cs="仿宋"/>
          <w:sz w:val="24"/>
        </w:rPr>
      </w:pPr>
      <w:r>
        <w:rPr>
          <w:rFonts w:hint="eastAsia" w:ascii="仿宋" w:hAnsi="仿宋" w:eastAsia="仿宋" w:cs="仿宋"/>
          <w:sz w:val="24"/>
        </w:rPr>
        <w:t>__________________________________________。</w:t>
      </w:r>
    </w:p>
    <w:p w14:paraId="72A36D03">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第四条 服务费用及支付方式</w:t>
      </w:r>
    </w:p>
    <w:p w14:paraId="0299EF00">
      <w:pPr>
        <w:snapToGrid w:val="0"/>
        <w:spacing w:line="360" w:lineRule="auto"/>
        <w:rPr>
          <w:rFonts w:hint="eastAsia" w:ascii="仿宋" w:hAnsi="仿宋" w:eastAsia="仿宋" w:cs="仿宋"/>
          <w:b/>
          <w:sz w:val="24"/>
        </w:rPr>
      </w:pPr>
      <w:r>
        <w:rPr>
          <w:rFonts w:hint="eastAsia" w:ascii="仿宋" w:hAnsi="仿宋" w:eastAsia="仿宋" w:cs="仿宋"/>
          <w:b/>
          <w:sz w:val="24"/>
        </w:rPr>
        <w:t>（一）本项目服务费用由以下组成：</w:t>
      </w:r>
    </w:p>
    <w:p w14:paraId="66727D7B">
      <w:pPr>
        <w:pStyle w:val="57"/>
        <w:spacing w:line="360" w:lineRule="auto"/>
        <w:ind w:firstLine="480"/>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w:t>
      </w:r>
      <w:r>
        <w:rPr>
          <w:rFonts w:hint="eastAsia" w:ascii="仿宋" w:hAnsi="仿宋" w:eastAsia="仿宋" w:cs="仿宋"/>
        </w:rPr>
        <w:t>万元；</w:t>
      </w:r>
    </w:p>
    <w:p w14:paraId="5144D783">
      <w:pPr>
        <w:pStyle w:val="57"/>
        <w:spacing w:line="360" w:lineRule="auto"/>
        <w:ind w:firstLine="48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w:t>
      </w:r>
      <w:r>
        <w:rPr>
          <w:rFonts w:hint="eastAsia" w:ascii="仿宋" w:hAnsi="仿宋" w:eastAsia="仿宋" w:cs="仿宋"/>
        </w:rPr>
        <w:t>万元；</w:t>
      </w:r>
    </w:p>
    <w:p w14:paraId="590CA8C9">
      <w:pPr>
        <w:pStyle w:val="57"/>
        <w:spacing w:line="360" w:lineRule="auto"/>
        <w:ind w:firstLine="480"/>
        <w:rPr>
          <w:rFonts w:hint="eastAsia" w:ascii="仿宋" w:hAnsi="仿宋" w:eastAsia="仿宋" w:cs="仿宋"/>
        </w:rPr>
      </w:pPr>
      <w:r>
        <w:rPr>
          <w:rFonts w:hint="eastAsia" w:ascii="仿宋" w:hAnsi="仿宋" w:eastAsia="仿宋" w:cs="仿宋"/>
        </w:rPr>
        <w:t>……</w:t>
      </w:r>
    </w:p>
    <w:p w14:paraId="55B40BF2">
      <w:pPr>
        <w:tabs>
          <w:tab w:val="left" w:pos="780"/>
        </w:tabs>
        <w:snapToGrid w:val="0"/>
        <w:spacing w:line="360" w:lineRule="auto"/>
        <w:rPr>
          <w:rFonts w:hint="eastAsia" w:ascii="仿宋" w:hAnsi="仿宋" w:eastAsia="仿宋" w:cs="仿宋"/>
          <w:b/>
          <w:sz w:val="24"/>
        </w:rPr>
      </w:pPr>
      <w:r>
        <w:rPr>
          <w:rFonts w:hint="eastAsia" w:ascii="仿宋" w:hAnsi="仿宋" w:eastAsia="仿宋" w:cs="仿宋"/>
          <w:b/>
          <w:sz w:val="24"/>
        </w:rPr>
        <w:t>（二）服务费支付方式：</w:t>
      </w:r>
    </w:p>
    <w:p w14:paraId="773B367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__________________________________________。</w:t>
      </w:r>
    </w:p>
    <w:p w14:paraId="35A4DD6D">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第五条 知识产权</w:t>
      </w:r>
    </w:p>
    <w:p w14:paraId="10CF7DFC">
      <w:pPr>
        <w:tabs>
          <w:tab w:val="left" w:pos="144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乙方应保证所提供的服务或其任何一部分均不会侵犯任何第三方的专利权、商标权或著作权。</w:t>
      </w:r>
    </w:p>
    <w:p w14:paraId="0320E8CB">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第六条 无产权瑕疵条款</w:t>
      </w:r>
    </w:p>
    <w:p w14:paraId="208F68B9">
      <w:pPr>
        <w:tabs>
          <w:tab w:val="left" w:pos="144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乙方保证所提供的服务的所有权完全属于乙方且无任何抵押、查封等产权瑕疵。如有产权瑕疵的，视为乙方违约。乙方应负担由此而产生的一切损失。</w:t>
      </w:r>
    </w:p>
    <w:p w14:paraId="38B144CC">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第七条 履约保证金</w:t>
      </w:r>
    </w:p>
    <w:p w14:paraId="03A90A73">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szCs w:val="24"/>
          <w:lang w:val="zh-CN"/>
        </w:rPr>
        <w:t>金额：</w:t>
      </w:r>
      <w:r>
        <w:rPr>
          <w:rFonts w:hint="eastAsia" w:ascii="仿宋" w:hAnsi="仿宋" w:eastAsia="仿宋" w:cs="仿宋"/>
          <w:sz w:val="24"/>
          <w:szCs w:val="24"/>
          <w:u w:val="single"/>
        </w:rPr>
        <w:t xml:space="preserve">               </w:t>
      </w:r>
      <w:r>
        <w:rPr>
          <w:rFonts w:hint="eastAsia" w:ascii="仿宋" w:hAnsi="仿宋" w:eastAsia="仿宋" w:cs="仿宋"/>
          <w:bCs/>
          <w:sz w:val="24"/>
        </w:rPr>
        <w:t>。</w:t>
      </w:r>
    </w:p>
    <w:p w14:paraId="07028412">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2、履约保证金退还方式及时间：</w:t>
      </w:r>
      <w:r>
        <w:rPr>
          <w:rFonts w:hint="eastAsia" w:ascii="仿宋" w:hAnsi="仿宋" w:eastAsia="仿宋" w:cs="仿宋"/>
          <w:bCs/>
          <w:sz w:val="24"/>
          <w:u w:val="single"/>
        </w:rPr>
        <w:t xml:space="preserve">                               </w:t>
      </w:r>
      <w:r>
        <w:rPr>
          <w:rFonts w:hint="eastAsia" w:ascii="仿宋" w:hAnsi="仿宋" w:eastAsia="仿宋" w:cs="仿宋"/>
          <w:bCs/>
          <w:sz w:val="24"/>
        </w:rPr>
        <w:t>。</w:t>
      </w:r>
    </w:p>
    <w:p w14:paraId="0691530D">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3、履约保证金不予退还情形：</w:t>
      </w:r>
    </w:p>
    <w:p w14:paraId="102BC928">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（1）乙方不履行与甲方订立的合同的，给甲方造成的损失超过履约保证金数额的，还应当对超过部分予以赔偿；</w:t>
      </w:r>
    </w:p>
    <w:p w14:paraId="7AD0B62E">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（2）项目验收结果不合格的；</w:t>
      </w:r>
    </w:p>
    <w:p w14:paraId="33E9FAD2">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（3）其他违反国家相关法律法规的情形；</w:t>
      </w:r>
    </w:p>
    <w:p w14:paraId="32482AB9">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（4）采购文件中规定不予退还的情形。</w:t>
      </w:r>
    </w:p>
    <w:p w14:paraId="159BCC48">
      <w:pPr>
        <w:adjustRightInd w:val="0"/>
        <w:snapToGrid w:val="0"/>
        <w:spacing w:line="360" w:lineRule="auto"/>
        <w:ind w:firstLine="480" w:firstLineChars="200"/>
        <w:jc w:val="left"/>
        <w:textAlignment w:val="baseline"/>
        <w:rPr>
          <w:rFonts w:hint="eastAsia" w:ascii="仿宋" w:hAnsi="仿宋" w:eastAsia="仿宋" w:cs="仿宋"/>
          <w:b/>
          <w:sz w:val="24"/>
        </w:rPr>
      </w:pPr>
      <w:r>
        <w:rPr>
          <w:rFonts w:hint="eastAsia" w:ascii="仿宋" w:hAnsi="仿宋" w:eastAsia="仿宋" w:cs="仿宋"/>
          <w:bCs/>
          <w:sz w:val="24"/>
        </w:rPr>
        <w:t>4、履约保证金不予退还的，将按照有关规定上缴国库。逾期退还履约保证金的，将依法承担法律责任。</w:t>
      </w:r>
    </w:p>
    <w:p w14:paraId="14F8AE2A">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第八条 甲方的权利和义务</w:t>
      </w:r>
    </w:p>
    <w:p w14:paraId="233E4A17">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27AD1D1D">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2、甲方有权依据双方签订的考评办法对乙方提供的服务进行定期考评。</w:t>
      </w:r>
    </w:p>
    <w:p w14:paraId="3742A353">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3、负责检查监督乙方管理工作的实施及制度的执行情况。</w:t>
      </w:r>
    </w:p>
    <w:p w14:paraId="12806D10">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4、根据本合同规定，按时向乙方支付应付服务费用。</w:t>
      </w:r>
    </w:p>
    <w:p w14:paraId="63E4C458">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5、国家法律、法规所规定由甲方承担的其它责任。</w:t>
      </w:r>
    </w:p>
    <w:p w14:paraId="5A4D5363">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第九条 乙方的权利和义务</w:t>
      </w:r>
    </w:p>
    <w:p w14:paraId="6384DAA0">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1、对本合同规定的委托服务范围内的项目享有管理权及服务义务。</w:t>
      </w:r>
    </w:p>
    <w:p w14:paraId="7AC407E9">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2、根据本合同的规定向甲方收取相关服务费用，并有权在本项目管理范围内管理及合理使用。</w:t>
      </w:r>
    </w:p>
    <w:p w14:paraId="4D70630A">
      <w:pPr>
        <w:adjustRightInd w:val="0"/>
        <w:snapToGri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3、及时向甲方通告本项目服务范围内有关服务的重大事项，及时配合处理投诉。</w:t>
      </w:r>
    </w:p>
    <w:p w14:paraId="6B9457F6">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sz w:val="24"/>
        </w:rPr>
        <w:t>4、</w:t>
      </w:r>
      <w:r>
        <w:rPr>
          <w:rFonts w:hint="eastAsia" w:ascii="仿宋" w:hAnsi="仿宋" w:eastAsia="仿宋" w:cs="仿宋"/>
          <w:bCs/>
          <w:sz w:val="24"/>
        </w:rPr>
        <w:t>接受项目行业管理部门及政府有关部门的指导，接受甲方的监督。</w:t>
      </w:r>
    </w:p>
    <w:p w14:paraId="34FF76B3">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5、国家法律、法规所规定由乙方承担的其它责任。</w:t>
      </w:r>
    </w:p>
    <w:p w14:paraId="47796E18">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6、严格完全根据甲方磋商文件要求及乙方响应文件响应的其他承诺及服务进行履约。</w:t>
      </w:r>
    </w:p>
    <w:p w14:paraId="188169FC">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第十条 违约责任</w:t>
      </w:r>
    </w:p>
    <w:p w14:paraId="37CBA52A">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1、甲乙双方必须遵守本合同并执行合同中的各项规定，保证本合同的正常履行。</w:t>
      </w:r>
    </w:p>
    <w:p w14:paraId="1A8C1414">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AEAF240">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第十一条 不可抗力事件处理</w:t>
      </w:r>
    </w:p>
    <w:p w14:paraId="725C3074">
      <w:pPr>
        <w:tabs>
          <w:tab w:val="left" w:pos="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1、在合同有效期内，任何一方因不可抗力事件导致不能履行合同，则合同履行期可延长，其延长期与不可抗力影响期相同。</w:t>
      </w:r>
    </w:p>
    <w:p w14:paraId="55BBBC9D">
      <w:pPr>
        <w:tabs>
          <w:tab w:val="left" w:pos="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2、不可抗力事件发生后，应立即通知对方，并寄送有关权威机构出具的证明。</w:t>
      </w:r>
    </w:p>
    <w:p w14:paraId="1E3FB139">
      <w:pPr>
        <w:tabs>
          <w:tab w:val="left" w:pos="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3、不可抗力事件延续</w:t>
      </w:r>
      <w:r>
        <w:rPr>
          <w:rFonts w:hint="eastAsia" w:ascii="仿宋" w:hAnsi="仿宋" w:eastAsia="仿宋" w:cs="仿宋"/>
          <w:sz w:val="24"/>
          <w:u w:val="single"/>
        </w:rPr>
        <w:t xml:space="preserve">    </w:t>
      </w:r>
      <w:r>
        <w:rPr>
          <w:rFonts w:hint="eastAsia" w:ascii="仿宋" w:hAnsi="仿宋" w:eastAsia="仿宋" w:cs="仿宋"/>
          <w:sz w:val="24"/>
        </w:rPr>
        <w:t>天以上，双方应通过友好协商，确定是否继续履行合同。</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0C7E978D">
      <w:pPr>
        <w:pStyle w:val="106"/>
        <w:adjustRightInd w:val="0"/>
        <w:snapToGrid w:val="0"/>
        <w:spacing w:line="360" w:lineRule="auto"/>
        <w:outlineLvl w:val="1"/>
        <w:rPr>
          <w:rFonts w:hint="eastAsia" w:ascii="仿宋" w:hAnsi="仿宋" w:eastAsia="仿宋" w:cs="仿宋"/>
          <w:b/>
          <w:kern w:val="2"/>
          <w:szCs w:val="24"/>
        </w:rPr>
      </w:pPr>
      <w:r>
        <w:rPr>
          <w:rFonts w:hint="eastAsia" w:ascii="仿宋" w:hAnsi="仿宋" w:eastAsia="仿宋" w:cs="仿宋"/>
          <w:b/>
          <w:kern w:val="2"/>
          <w:szCs w:val="24"/>
        </w:rPr>
        <w:t>第十二条 解决合同纠纷的方式</w:t>
      </w:r>
    </w:p>
    <w:p w14:paraId="6F88A668">
      <w:pPr>
        <w:pStyle w:val="106"/>
        <w:adjustRightInd w:val="0"/>
        <w:snapToGrid w:val="0"/>
        <w:spacing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1、在执行本合同中发生的或与本合同有关的争端，双方应通过友好协商解决，协商不成的，任何一方均有权向甲方所在人民法院起诉。</w:t>
      </w:r>
    </w:p>
    <w:p w14:paraId="6864C7BC">
      <w:pPr>
        <w:pStyle w:val="106"/>
        <w:adjustRightInd w:val="0"/>
        <w:snapToGrid w:val="0"/>
        <w:spacing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2、诉讼期间，除合同有争议部分外，合同其他部分继续执行。</w:t>
      </w:r>
    </w:p>
    <w:p w14:paraId="7D4F5D1F">
      <w:pPr>
        <w:pStyle w:val="106"/>
        <w:adjustRightInd w:val="0"/>
        <w:snapToGrid w:val="0"/>
        <w:spacing w:line="360" w:lineRule="auto"/>
        <w:outlineLvl w:val="1"/>
        <w:rPr>
          <w:rFonts w:hint="eastAsia" w:ascii="仿宋" w:hAnsi="仿宋" w:eastAsia="仿宋" w:cs="仿宋"/>
          <w:b/>
          <w:kern w:val="2"/>
          <w:szCs w:val="24"/>
        </w:rPr>
      </w:pPr>
      <w:r>
        <w:rPr>
          <w:rFonts w:hint="eastAsia" w:ascii="仿宋" w:hAnsi="仿宋" w:eastAsia="仿宋" w:cs="仿宋"/>
          <w:b/>
          <w:kern w:val="2"/>
          <w:szCs w:val="24"/>
        </w:rPr>
        <w:t>第十三条 合同生效及其他</w:t>
      </w:r>
    </w:p>
    <w:p w14:paraId="68B468B1">
      <w:pPr>
        <w:pStyle w:val="106"/>
        <w:adjustRightInd w:val="0"/>
        <w:snapToGrid w:val="0"/>
        <w:spacing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1、合同经双方法定代表人或授权委托代理人签字或加盖单位公章后生效。</w:t>
      </w:r>
    </w:p>
    <w:p w14:paraId="6C214702">
      <w:pPr>
        <w:pStyle w:val="106"/>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kern w:val="2"/>
          <w:szCs w:val="24"/>
        </w:rPr>
        <w:t>2、本合同一式X份，自双方签章之日起起效。甲方X份，乙方X份，具有同等法律效力。</w:t>
      </w:r>
    </w:p>
    <w:p w14:paraId="53AE0978">
      <w:pPr>
        <w:snapToGrid w:val="0"/>
        <w:spacing w:line="360" w:lineRule="auto"/>
        <w:rPr>
          <w:rFonts w:hint="eastAsia" w:ascii="仿宋" w:hAnsi="仿宋" w:eastAsia="仿宋" w:cs="仿宋"/>
          <w:sz w:val="24"/>
        </w:rPr>
      </w:pPr>
    </w:p>
    <w:p w14:paraId="56AE103E">
      <w:pPr>
        <w:spacing w:line="360" w:lineRule="auto"/>
        <w:rPr>
          <w:rFonts w:hint="eastAsia" w:ascii="仿宋" w:hAnsi="仿宋" w:eastAsia="仿宋" w:cs="仿宋"/>
        </w:rPr>
      </w:pPr>
    </w:p>
    <w:p w14:paraId="6EB1F795">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甲方：</w:t>
      </w:r>
      <w:r>
        <w:rPr>
          <w:rFonts w:hint="eastAsia" w:ascii="仿宋" w:hAnsi="仿宋" w:eastAsia="仿宋" w:cs="仿宋"/>
          <w:bCs/>
          <w:color w:val="auto"/>
          <w:sz w:val="24"/>
        </w:rPr>
        <w:t xml:space="preserve">（盖章）   </w:t>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 xml:space="preserve">                     </w:t>
      </w:r>
      <w:r>
        <w:rPr>
          <w:rFonts w:hint="eastAsia" w:ascii="仿宋" w:hAnsi="仿宋" w:eastAsia="仿宋" w:cs="仿宋"/>
          <w:b/>
          <w:bCs/>
          <w:color w:val="auto"/>
          <w:sz w:val="24"/>
        </w:rPr>
        <w:t>乙方：</w:t>
      </w:r>
      <w:r>
        <w:rPr>
          <w:rFonts w:hint="eastAsia" w:ascii="仿宋" w:hAnsi="仿宋" w:eastAsia="仿宋" w:cs="仿宋"/>
          <w:bCs/>
          <w:color w:val="auto"/>
          <w:sz w:val="24"/>
        </w:rPr>
        <w:t xml:space="preserve"> （盖章）</w:t>
      </w:r>
    </w:p>
    <w:p w14:paraId="3C73FFE6">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法定代表人（授权代表）：</w:t>
      </w:r>
      <w:r>
        <w:rPr>
          <w:rFonts w:hint="eastAsia" w:ascii="仿宋" w:hAnsi="仿宋" w:eastAsia="仿宋" w:cs="仿宋"/>
          <w:bCs/>
          <w:color w:val="auto"/>
          <w:sz w:val="24"/>
        </w:rPr>
        <w:t xml:space="preserve">                  </w:t>
      </w:r>
      <w:r>
        <w:rPr>
          <w:rFonts w:hint="eastAsia" w:ascii="仿宋" w:hAnsi="仿宋" w:eastAsia="仿宋" w:cs="仿宋"/>
          <w:b/>
          <w:bCs/>
          <w:color w:val="auto"/>
          <w:sz w:val="24"/>
        </w:rPr>
        <w:t>法定代表人（授权代表）：</w:t>
      </w:r>
    </w:p>
    <w:p w14:paraId="492CDC44">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 xml:space="preserve">地    址：                              </w:t>
      </w:r>
      <w:r>
        <w:rPr>
          <w:rFonts w:hint="eastAsia" w:ascii="仿宋" w:hAnsi="仿宋" w:eastAsia="仿宋" w:cs="仿宋"/>
          <w:bCs/>
          <w:color w:val="auto"/>
          <w:sz w:val="24"/>
        </w:rPr>
        <w:t xml:space="preserve">  </w:t>
      </w:r>
      <w:r>
        <w:rPr>
          <w:rFonts w:hint="eastAsia" w:ascii="仿宋" w:hAnsi="仿宋" w:eastAsia="仿宋" w:cs="仿宋"/>
          <w:b/>
          <w:bCs/>
          <w:color w:val="auto"/>
          <w:sz w:val="24"/>
        </w:rPr>
        <w:t>地    址：</w:t>
      </w:r>
    </w:p>
    <w:p w14:paraId="590B0201">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 xml:space="preserve">开户银行：                          </w:t>
      </w:r>
      <w:r>
        <w:rPr>
          <w:rFonts w:hint="eastAsia" w:ascii="仿宋" w:hAnsi="仿宋" w:eastAsia="仿宋" w:cs="仿宋"/>
          <w:bCs/>
          <w:color w:val="auto"/>
          <w:sz w:val="24"/>
        </w:rPr>
        <w:t xml:space="preserve">      </w:t>
      </w:r>
      <w:r>
        <w:rPr>
          <w:rFonts w:hint="eastAsia" w:ascii="仿宋" w:hAnsi="仿宋" w:eastAsia="仿宋" w:cs="仿宋"/>
          <w:b/>
          <w:bCs/>
          <w:color w:val="auto"/>
          <w:sz w:val="24"/>
        </w:rPr>
        <w:t>开户银行：</w:t>
      </w:r>
    </w:p>
    <w:p w14:paraId="1658D062">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 xml:space="preserve">账号：                            </w:t>
      </w:r>
      <w:r>
        <w:rPr>
          <w:rFonts w:hint="eastAsia" w:ascii="仿宋" w:hAnsi="仿宋" w:eastAsia="仿宋" w:cs="仿宋"/>
          <w:bCs/>
          <w:color w:val="auto"/>
          <w:sz w:val="24"/>
        </w:rPr>
        <w:t xml:space="preserve">        </w:t>
      </w:r>
      <w:r>
        <w:rPr>
          <w:rFonts w:hint="eastAsia" w:ascii="仿宋" w:hAnsi="仿宋" w:eastAsia="仿宋" w:cs="仿宋"/>
          <w:b/>
          <w:bCs/>
          <w:color w:val="auto"/>
          <w:sz w:val="24"/>
        </w:rPr>
        <w:t>账号：</w:t>
      </w:r>
    </w:p>
    <w:p w14:paraId="683F0848">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纳税人识别号：</w:t>
      </w:r>
      <w:r>
        <w:rPr>
          <w:rFonts w:hint="eastAsia" w:ascii="仿宋" w:hAnsi="仿宋" w:eastAsia="仿宋" w:cs="仿宋"/>
          <w:bCs/>
          <w:color w:val="auto"/>
          <w:sz w:val="24"/>
        </w:rPr>
        <w:t xml:space="preserve">                            </w:t>
      </w:r>
      <w:r>
        <w:rPr>
          <w:rFonts w:hint="eastAsia" w:ascii="仿宋" w:hAnsi="仿宋" w:eastAsia="仿宋" w:cs="仿宋"/>
          <w:b/>
          <w:bCs/>
          <w:color w:val="auto"/>
          <w:sz w:val="24"/>
        </w:rPr>
        <w:t>纳税人识别号：</w:t>
      </w:r>
    </w:p>
    <w:p w14:paraId="552D9356">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项目联系人：</w:t>
      </w:r>
      <w:r>
        <w:rPr>
          <w:rFonts w:hint="eastAsia" w:ascii="仿宋" w:hAnsi="仿宋" w:eastAsia="仿宋" w:cs="仿宋"/>
          <w:bCs/>
          <w:color w:val="auto"/>
          <w:sz w:val="24"/>
        </w:rPr>
        <w:t xml:space="preserve">                              </w:t>
      </w:r>
      <w:r>
        <w:rPr>
          <w:rFonts w:hint="eastAsia" w:ascii="仿宋" w:hAnsi="仿宋" w:eastAsia="仿宋" w:cs="仿宋"/>
          <w:b/>
          <w:bCs/>
          <w:color w:val="auto"/>
          <w:sz w:val="24"/>
        </w:rPr>
        <w:t>项目联系人：</w:t>
      </w:r>
    </w:p>
    <w:p w14:paraId="507A3AA2">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电    话：</w:t>
      </w:r>
      <w:r>
        <w:rPr>
          <w:rFonts w:hint="eastAsia" w:ascii="仿宋" w:hAnsi="仿宋" w:eastAsia="仿宋" w:cs="仿宋"/>
          <w:bCs/>
          <w:color w:val="auto"/>
          <w:sz w:val="24"/>
        </w:rPr>
        <w:t xml:space="preserve">                                </w:t>
      </w:r>
      <w:r>
        <w:rPr>
          <w:rFonts w:hint="eastAsia" w:ascii="仿宋" w:hAnsi="仿宋" w:eastAsia="仿宋" w:cs="仿宋"/>
          <w:b/>
          <w:bCs/>
          <w:color w:val="auto"/>
          <w:sz w:val="24"/>
        </w:rPr>
        <w:t>电    话：</w:t>
      </w:r>
    </w:p>
    <w:p w14:paraId="7C28445F">
      <w:pPr>
        <w:rPr>
          <w:rFonts w:hint="eastAsia" w:ascii="仿宋" w:hAnsi="仿宋" w:eastAsia="仿宋"/>
          <w:sz w:val="24"/>
        </w:rPr>
      </w:pPr>
      <w:r>
        <w:rPr>
          <w:rFonts w:hint="eastAsia" w:ascii="仿宋" w:hAnsi="仿宋" w:eastAsia="仿宋" w:cs="仿宋"/>
          <w:b/>
          <w:bCs/>
          <w:color w:val="auto"/>
          <w:sz w:val="24"/>
        </w:rPr>
        <w:t xml:space="preserve">签约日期：XXXX年XX月XX日 </w:t>
      </w:r>
      <w:r>
        <w:rPr>
          <w:rFonts w:hint="eastAsia" w:ascii="仿宋" w:hAnsi="仿宋" w:eastAsia="仿宋" w:cs="仿宋"/>
          <w:b/>
          <w:bCs/>
          <w:color w:val="auto"/>
          <w:sz w:val="24"/>
        </w:rPr>
        <w:tab/>
      </w:r>
      <w:r>
        <w:rPr>
          <w:rFonts w:hint="eastAsia" w:ascii="仿宋" w:hAnsi="仿宋" w:eastAsia="仿宋" w:cs="仿宋"/>
          <w:b/>
          <w:bCs/>
          <w:color w:val="auto"/>
          <w:sz w:val="24"/>
        </w:rPr>
        <w:tab/>
      </w:r>
      <w:r>
        <w:rPr>
          <w:rFonts w:hint="eastAsia" w:ascii="仿宋" w:hAnsi="仿宋" w:eastAsia="仿宋" w:cs="仿宋"/>
          <w:b/>
          <w:bCs/>
          <w:color w:val="auto"/>
          <w:sz w:val="24"/>
        </w:rPr>
        <w:tab/>
      </w:r>
      <w:r>
        <w:rPr>
          <w:rFonts w:hint="eastAsia" w:ascii="仿宋" w:hAnsi="仿宋" w:eastAsia="仿宋" w:cs="仿宋"/>
          <w:b/>
          <w:bCs/>
          <w:color w:val="auto"/>
          <w:sz w:val="24"/>
        </w:rPr>
        <w:t xml:space="preserve">       签约日期：XXXX年XX月XX日</w:t>
      </w:r>
    </w:p>
    <w:p w14:paraId="2FD3E374">
      <w:pPr>
        <w:snapToGrid w:val="0"/>
        <w:spacing w:line="360" w:lineRule="auto"/>
        <w:rPr>
          <w:rFonts w:hint="eastAsia" w:ascii="仿宋" w:hAnsi="仿宋" w:eastAsia="仿宋" w:cs="仿宋"/>
          <w:b/>
          <w:bCs/>
          <w:color w:val="auto"/>
          <w:sz w:val="24"/>
        </w:rPr>
      </w:pPr>
    </w:p>
    <w:sectPr>
      <w:headerReference r:id="rId32" w:type="default"/>
      <w:footerReference r:id="rId3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
    <w:altName w:val="宋体"/>
    <w:panose1 w:val="00000000000000000000"/>
    <w:charset w:val="86"/>
    <w:family w:val="roma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8311">
    <w:pPr>
      <w:pStyle w:val="20"/>
      <w:pBdr>
        <w:top w:val="single" w:color="000000" w:sz="4" w:space="1"/>
      </w:pBdr>
      <w:tabs>
        <w:tab w:val="right" w:pos="7585"/>
        <w:tab w:val="clear" w:pos="8305"/>
      </w:tabs>
      <w:ind w:right="7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A805F">
    <w:pPr>
      <w:pStyle w:val="20"/>
      <w:pBdr>
        <w:top w:val="none" w:color="auto" w:sz="0" w:space="1"/>
      </w:pBdr>
      <w:tabs>
        <w:tab w:val="right" w:pos="8306"/>
        <w:tab w:val="clear" w:pos="8305"/>
      </w:tabs>
      <w:wordWrap w:val="0"/>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B5890">
                          <w:pPr>
                            <w:pStyle w:val="2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6BCB5890">
                    <w:pPr>
                      <w:pStyle w:val="2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8DA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EEF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7DE0">
    <w:pPr>
      <w:pStyle w:val="20"/>
      <w:ind w:right="90"/>
      <w:jc w:val="right"/>
    </w:pPr>
  </w:p>
  <w:p w14:paraId="119EC48F">
    <w:pPr>
      <w:pStyle w:val="20"/>
      <w:pBdr>
        <w:top w:val="single" w:color="000000" w:sz="4" w:space="1"/>
      </w:pBdr>
      <w:tabs>
        <w:tab w:val="right" w:pos="7783"/>
        <w:tab w:val="clear" w:pos="8305"/>
      </w:tabs>
      <w:ind w:right="720"/>
    </w:pPr>
    <w:r>
      <w:rPr>
        <w:rFonts w:hint="eastAsia"/>
      </w:rPr>
      <w:t>地址：成都市锦江区墨香路87号8栋4楼      联系电话028-65731881/86661810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9157">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2BE1F">
                          <w:pPr>
                            <w:pStyle w:val="2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EB2BE1F">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C976">
    <w:pPr>
      <w:pStyle w:val="20"/>
      <w:pBdr>
        <w:top w:val="single" w:color="000000" w:sz="4" w:space="1"/>
      </w:pBdr>
      <w:tabs>
        <w:tab w:val="right" w:pos="7596"/>
        <w:tab w:val="clear" w:pos="8305"/>
      </w:tabs>
      <w:ind w:right="7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E0E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F4CE0E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A0E0">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3CCA3">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683CCA3">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10E0">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69102">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3769102">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12E2">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43751">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A043751">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6DE3">
    <w:pPr>
      <w:pStyle w:val="21"/>
      <w:pBdr>
        <w:bottom w:val="none" w:color="auto" w:sz="0" w:space="0"/>
      </w:pBdr>
      <w:jc w:val="both"/>
    </w:pPr>
    <w:r>
      <w:drawing>
        <wp:anchor distT="0" distB="0" distL="114300" distR="114300" simplePos="0" relativeHeight="251659264"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2118300966" name="图片模式22"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00966" name="图片模式22"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EE3E">
    <w:pPr>
      <w:pStyle w:val="21"/>
      <w:tabs>
        <w:tab w:val="right" w:pos="8306"/>
        <w:tab w:val="clear" w:pos="8305"/>
      </w:tabs>
      <w:ind w:firstLine="450" w:firstLineChars="250"/>
      <w:jc w:val="both"/>
    </w:pPr>
    <w:r>
      <w:rPr>
        <w:rFonts w:hint="eastAsia"/>
      </w:rPr>
      <w:t>四川商务职业学院                                   公开  公平  公正  高效</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AF82">
    <w:pPr>
      <w:pStyle w:val="21"/>
      <w:tabs>
        <w:tab w:val="right" w:pos="8306"/>
        <w:tab w:val="clear" w:pos="8305"/>
      </w:tabs>
      <w:ind w:firstLine="450" w:firstLineChars="250"/>
      <w:jc w:val="both"/>
    </w:pPr>
    <w:r>
      <w:rPr>
        <w:rFonts w:hint="eastAsia"/>
      </w:rPr>
      <w:t>四川商务职业学院                                  公开  公平  公正  高效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FBD6">
    <w:pPr>
      <w:pStyle w:val="20"/>
      <w:pBdr>
        <w:top w:val="single" w:color="000000" w:sz="4" w:space="1"/>
      </w:pBdr>
      <w:tabs>
        <w:tab w:val="right" w:pos="7596"/>
        <w:tab w:val="clear" w:pos="8305"/>
      </w:tabs>
      <w:ind w:right="7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DAA6">
    <w:pPr>
      <w:pStyle w:val="21"/>
      <w:tabs>
        <w:tab w:val="right" w:pos="8306"/>
        <w:tab w:val="clear" w:pos="8305"/>
      </w:tabs>
      <w:ind w:firstLine="450" w:firstLineChars="250"/>
      <w:jc w:val="both"/>
    </w:pPr>
    <w:r>
      <w:rPr>
        <w:rFonts w:hint="eastAsia"/>
      </w:rPr>
      <w:t>四川商务职业学院                                   公开  公平  公正  高效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5F429">
    <w:pPr>
      <w:pStyle w:val="20"/>
      <w:pBdr>
        <w:top w:val="single" w:color="000000" w:sz="4" w:space="1"/>
      </w:pBdr>
      <w:tabs>
        <w:tab w:val="right" w:pos="7596"/>
        <w:tab w:val="clear" w:pos="8305"/>
      </w:tabs>
      <w:ind w:right="7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2FCC">
    <w:pPr>
      <w:pStyle w:val="21"/>
      <w:tabs>
        <w:tab w:val="right" w:pos="8306"/>
        <w:tab w:val="clear" w:pos="8305"/>
      </w:tabs>
      <w:ind w:firstLine="450" w:firstLineChars="250"/>
      <w:jc w:val="both"/>
    </w:pPr>
    <w:r>
      <w:rPr>
        <w:rFonts w:hint="eastAsia"/>
      </w:rPr>
      <w:t>四川商务职业学院                                  公开  公平  公正  高效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64EA0">
    <w:pPr>
      <w:pStyle w:val="21"/>
      <w:tabs>
        <w:tab w:val="right" w:pos="8306"/>
        <w:tab w:val="clear" w:pos="8305"/>
      </w:tabs>
      <w:ind w:firstLine="450" w:firstLineChars="250"/>
      <w:jc w:val="both"/>
    </w:pPr>
    <w:bookmarkStart w:id="57" w:name="_Hlk515355269"/>
    <w:bookmarkStart w:id="58" w:name="_Hlk515355268"/>
    <w:r>
      <w:rPr>
        <w:rFonts w:hint="eastAsia"/>
      </w:rPr>
      <w:t>四川商务职业学院                                      公开  公平  公正  高效</w:t>
    </w:r>
    <w:bookmarkEnd w:id="57"/>
    <w:bookmarkEnd w:id="58"/>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DA7A">
    <w:pPr>
      <w:pStyle w:val="21"/>
      <w:tabs>
        <w:tab w:val="right" w:pos="8306"/>
        <w:tab w:val="clear" w:pos="8305"/>
      </w:tabs>
    </w:pPr>
    <w:r>
      <w:rPr>
        <w:rFonts w:hint="eastAsia"/>
      </w:rPr>
      <w:t>四川商务职业学院                                            公开  公平  公正  高效</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0249">
    <w:pPr>
      <w:pStyle w:val="20"/>
      <w:pBdr>
        <w:top w:val="single" w:color="000000" w:sz="4" w:space="1"/>
      </w:pBdr>
      <w:tabs>
        <w:tab w:val="right" w:pos="7596"/>
        <w:tab w:val="clear" w:pos="8305"/>
      </w:tabs>
      <w:ind w:right="72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D88E">
    <w:pPr>
      <w:pStyle w:val="21"/>
      <w:tabs>
        <w:tab w:val="right" w:pos="8306"/>
        <w:tab w:val="clear" w:pos="8305"/>
      </w:tabs>
    </w:pPr>
    <w:r>
      <w:rPr>
        <w:rFonts w:hint="eastAsia"/>
      </w:rPr>
      <w:t>四川商务职业学院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F97F">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2BE3A">
    <w:pPr>
      <w:pStyle w:val="21"/>
      <w:tabs>
        <w:tab w:val="right" w:pos="8306"/>
        <w:tab w:val="clear" w:pos="8305"/>
      </w:tabs>
      <w:ind w:firstLine="450" w:firstLineChars="250"/>
      <w:jc w:val="both"/>
    </w:pPr>
    <w:r>
      <w:rPr>
        <w:rFonts w:hint="eastAsia"/>
      </w:rPr>
      <w:t>四川商务职业学院                             公开  公平  公正  高效</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9B51">
    <w:pPr>
      <w:pStyle w:val="21"/>
      <w:tabs>
        <w:tab w:val="right" w:pos="8306"/>
        <w:tab w:val="clear" w:pos="8305"/>
      </w:tabs>
      <w:ind w:firstLine="270" w:firstLineChars="150"/>
      <w:jc w:val="both"/>
    </w:pPr>
    <w:bookmarkStart w:id="59" w:name="_Hlk515355044"/>
    <w:bookmarkStart w:id="60" w:name="_Hlk515355043"/>
    <w:r>
      <w:rPr>
        <w:rFonts w:hint="eastAsia"/>
      </w:rPr>
      <w:t>四川商务职业学院                                           公开  公平  公正  高效</w:t>
    </w:r>
    <w:bookmarkEnd w:id="59"/>
    <w:bookmarkEnd w:id="6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DB0B">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3030">
    <w:pPr>
      <w:pStyle w:val="21"/>
      <w:ind w:firstLine="450"/>
      <w:jc w:val="both"/>
    </w:pPr>
    <w:r>
      <w:drawing>
        <wp:anchor distT="0" distB="0" distL="114300" distR="114300" simplePos="0" relativeHeight="251660288"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85333513" name="图片模式23"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3513" name="图片模式23"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四川代理机构代理机构                                    公开  公平  公正  高效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53E9">
    <w:pPr>
      <w:pStyle w:val="20"/>
      <w:pBdr>
        <w:top w:val="none" w:color="000000" w:sz="0" w:space="1"/>
      </w:pBdr>
      <w:tabs>
        <w:tab w:val="right" w:pos="7585"/>
        <w:tab w:val="clear" w:pos="8305"/>
      </w:tabs>
      <w:ind w:right="7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DC7B">
    <w:pPr>
      <w:pStyle w:val="21"/>
      <w:tabs>
        <w:tab w:val="right" w:pos="8306"/>
        <w:tab w:val="clear" w:pos="8305"/>
      </w:tabs>
      <w:ind w:firstLine="360" w:firstLineChars="200"/>
      <w:jc w:val="both"/>
    </w:pPr>
    <w:r>
      <w:rPr>
        <w:rFonts w:hint="eastAsia"/>
      </w:rPr>
      <w:t>四川商务职业学院                                              公开  公平  公正  高效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0745">
    <w:pPr>
      <w:pStyle w:val="20"/>
      <w:pBdr>
        <w:top w:val="single" w:color="000000" w:sz="4" w:space="1"/>
      </w:pBdr>
      <w:tabs>
        <w:tab w:val="right" w:pos="7783"/>
        <w:tab w:val="clear" w:pos="8305"/>
      </w:tabs>
      <w:ind w:right="7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9FDB">
    <w:pPr>
      <w:pStyle w:val="21"/>
      <w:ind w:firstLine="450" w:firstLineChars="250"/>
      <w:jc w:val="both"/>
    </w:pPr>
    <w:r>
      <w:rPr>
        <w:rFonts w:hint="eastAsia"/>
      </w:rPr>
      <w:t>四川商务职业学院                                      公开  公平  公正  高效</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FCF5">
    <w:pPr>
      <w:pStyle w:val="21"/>
      <w:ind w:firstLine="450" w:firstLineChars="250"/>
      <w:jc w:val="both"/>
    </w:pPr>
    <w:r>
      <w:rPr>
        <w:rFonts w:hint="eastAsia"/>
      </w:rPr>
      <w:t>四川商务职业学院                                   公开  公平  公正  高效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15"/>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5"/>
    <w:multiLevelType w:val="multilevel"/>
    <w:tmpl w:val="00000005"/>
    <w:lvl w:ilvl="0" w:tentative="0">
      <w:start w:val="1"/>
      <w:numFmt w:val="decimal"/>
      <w:pStyle w:val="50"/>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09693E"/>
    <w:multiLevelType w:val="singleLevel"/>
    <w:tmpl w:val="5B09693E"/>
    <w:lvl w:ilvl="0" w:tentative="0">
      <w:start w:val="1"/>
      <w:numFmt w:val="chineseCounting"/>
      <w:suff w:val="nothing"/>
      <w:lvlText w:val="%1、"/>
      <w:lvlJc w:val="left"/>
      <w:rPr>
        <w:rFonts w:ascii="宋体" w:hAnsi="宋体" w:eastAsia="宋体"/>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hideSpellingErrors/>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zODM0NmQ5ZGJmZDg3NzgxZGQ2ZWYzOTM1ZmM2MzMifQ=="/>
  </w:docVars>
  <w:rsids>
    <w:rsidRoot w:val="00FA2791"/>
    <w:rsid w:val="00002513"/>
    <w:rsid w:val="00004A85"/>
    <w:rsid w:val="000203D6"/>
    <w:rsid w:val="00025798"/>
    <w:rsid w:val="0003319F"/>
    <w:rsid w:val="00037393"/>
    <w:rsid w:val="00037C3F"/>
    <w:rsid w:val="000476BA"/>
    <w:rsid w:val="00053998"/>
    <w:rsid w:val="000558E3"/>
    <w:rsid w:val="00056728"/>
    <w:rsid w:val="000613E9"/>
    <w:rsid w:val="00063DB2"/>
    <w:rsid w:val="00072053"/>
    <w:rsid w:val="000729D6"/>
    <w:rsid w:val="00074A35"/>
    <w:rsid w:val="00075062"/>
    <w:rsid w:val="00076C22"/>
    <w:rsid w:val="00083474"/>
    <w:rsid w:val="00084612"/>
    <w:rsid w:val="00093675"/>
    <w:rsid w:val="00096742"/>
    <w:rsid w:val="000A7888"/>
    <w:rsid w:val="000B04F9"/>
    <w:rsid w:val="000C2A0E"/>
    <w:rsid w:val="000D0A68"/>
    <w:rsid w:val="000D2243"/>
    <w:rsid w:val="000E1291"/>
    <w:rsid w:val="00107735"/>
    <w:rsid w:val="00110050"/>
    <w:rsid w:val="00110F07"/>
    <w:rsid w:val="00117554"/>
    <w:rsid w:val="00117F4D"/>
    <w:rsid w:val="00121481"/>
    <w:rsid w:val="00121A73"/>
    <w:rsid w:val="00133FB4"/>
    <w:rsid w:val="00136C86"/>
    <w:rsid w:val="001405E3"/>
    <w:rsid w:val="001407C0"/>
    <w:rsid w:val="00141073"/>
    <w:rsid w:val="001432FF"/>
    <w:rsid w:val="0014359D"/>
    <w:rsid w:val="00147248"/>
    <w:rsid w:val="00147A9D"/>
    <w:rsid w:val="00151260"/>
    <w:rsid w:val="00163D1B"/>
    <w:rsid w:val="00164C36"/>
    <w:rsid w:val="001655FE"/>
    <w:rsid w:val="00166C76"/>
    <w:rsid w:val="0017330A"/>
    <w:rsid w:val="00181417"/>
    <w:rsid w:val="001845A5"/>
    <w:rsid w:val="00185759"/>
    <w:rsid w:val="001A1268"/>
    <w:rsid w:val="001A5F77"/>
    <w:rsid w:val="001B3F36"/>
    <w:rsid w:val="001C00FC"/>
    <w:rsid w:val="001C0771"/>
    <w:rsid w:val="001C1861"/>
    <w:rsid w:val="001C6156"/>
    <w:rsid w:val="001D0AFD"/>
    <w:rsid w:val="001D2BA1"/>
    <w:rsid w:val="001E7389"/>
    <w:rsid w:val="001F387C"/>
    <w:rsid w:val="00201E00"/>
    <w:rsid w:val="00202DB8"/>
    <w:rsid w:val="00203B55"/>
    <w:rsid w:val="0020551A"/>
    <w:rsid w:val="00205D51"/>
    <w:rsid w:val="002066EF"/>
    <w:rsid w:val="00217769"/>
    <w:rsid w:val="00220195"/>
    <w:rsid w:val="002248AB"/>
    <w:rsid w:val="002309DA"/>
    <w:rsid w:val="0023228D"/>
    <w:rsid w:val="002328CD"/>
    <w:rsid w:val="00233446"/>
    <w:rsid w:val="002339F3"/>
    <w:rsid w:val="00243152"/>
    <w:rsid w:val="00250F0B"/>
    <w:rsid w:val="002523DD"/>
    <w:rsid w:val="00257144"/>
    <w:rsid w:val="00257A85"/>
    <w:rsid w:val="00257CA1"/>
    <w:rsid w:val="00266356"/>
    <w:rsid w:val="002725EE"/>
    <w:rsid w:val="00276846"/>
    <w:rsid w:val="00287039"/>
    <w:rsid w:val="002A0020"/>
    <w:rsid w:val="002A3A06"/>
    <w:rsid w:val="002A53AE"/>
    <w:rsid w:val="002A566D"/>
    <w:rsid w:val="002A7484"/>
    <w:rsid w:val="002B40C0"/>
    <w:rsid w:val="002C45E8"/>
    <w:rsid w:val="002E33C1"/>
    <w:rsid w:val="002F1874"/>
    <w:rsid w:val="003008B9"/>
    <w:rsid w:val="0031089C"/>
    <w:rsid w:val="003129FB"/>
    <w:rsid w:val="003140C3"/>
    <w:rsid w:val="00314C11"/>
    <w:rsid w:val="00317661"/>
    <w:rsid w:val="003177A4"/>
    <w:rsid w:val="00324F17"/>
    <w:rsid w:val="00325AA4"/>
    <w:rsid w:val="003278DE"/>
    <w:rsid w:val="00332C39"/>
    <w:rsid w:val="00333BB3"/>
    <w:rsid w:val="0034208D"/>
    <w:rsid w:val="003471B7"/>
    <w:rsid w:val="00351926"/>
    <w:rsid w:val="003555E9"/>
    <w:rsid w:val="00356E11"/>
    <w:rsid w:val="003621F1"/>
    <w:rsid w:val="00364D82"/>
    <w:rsid w:val="003677E6"/>
    <w:rsid w:val="00380A5E"/>
    <w:rsid w:val="00386508"/>
    <w:rsid w:val="00386EC1"/>
    <w:rsid w:val="00392973"/>
    <w:rsid w:val="00393EB8"/>
    <w:rsid w:val="00395F90"/>
    <w:rsid w:val="00397198"/>
    <w:rsid w:val="0039773C"/>
    <w:rsid w:val="003A0770"/>
    <w:rsid w:val="003A13BF"/>
    <w:rsid w:val="003A44FC"/>
    <w:rsid w:val="003A5550"/>
    <w:rsid w:val="003B06F5"/>
    <w:rsid w:val="003B0ACC"/>
    <w:rsid w:val="003B439E"/>
    <w:rsid w:val="003B5772"/>
    <w:rsid w:val="003C604A"/>
    <w:rsid w:val="003D3CD9"/>
    <w:rsid w:val="003D42DE"/>
    <w:rsid w:val="003F1C21"/>
    <w:rsid w:val="003F53CC"/>
    <w:rsid w:val="003F6C7C"/>
    <w:rsid w:val="00404C62"/>
    <w:rsid w:val="004106E7"/>
    <w:rsid w:val="00410E0C"/>
    <w:rsid w:val="0041295C"/>
    <w:rsid w:val="00415F06"/>
    <w:rsid w:val="004201D9"/>
    <w:rsid w:val="00422B67"/>
    <w:rsid w:val="00426B67"/>
    <w:rsid w:val="00441766"/>
    <w:rsid w:val="00443BDD"/>
    <w:rsid w:val="00444195"/>
    <w:rsid w:val="0045489B"/>
    <w:rsid w:val="00454DF3"/>
    <w:rsid w:val="0046055B"/>
    <w:rsid w:val="00460D87"/>
    <w:rsid w:val="00470BBB"/>
    <w:rsid w:val="00477248"/>
    <w:rsid w:val="004911A0"/>
    <w:rsid w:val="00495E27"/>
    <w:rsid w:val="004A2BC8"/>
    <w:rsid w:val="004A2F0D"/>
    <w:rsid w:val="004A3E8C"/>
    <w:rsid w:val="004A5419"/>
    <w:rsid w:val="004B1A6A"/>
    <w:rsid w:val="004B3B82"/>
    <w:rsid w:val="004B6430"/>
    <w:rsid w:val="004D4FCC"/>
    <w:rsid w:val="004E2ED2"/>
    <w:rsid w:val="004E414B"/>
    <w:rsid w:val="004E6D52"/>
    <w:rsid w:val="004F0FC3"/>
    <w:rsid w:val="005006FB"/>
    <w:rsid w:val="00503BEF"/>
    <w:rsid w:val="0051405E"/>
    <w:rsid w:val="00517832"/>
    <w:rsid w:val="00521E18"/>
    <w:rsid w:val="00532882"/>
    <w:rsid w:val="00533E52"/>
    <w:rsid w:val="00541D9C"/>
    <w:rsid w:val="00544B62"/>
    <w:rsid w:val="00545DB8"/>
    <w:rsid w:val="0054636A"/>
    <w:rsid w:val="00547A11"/>
    <w:rsid w:val="00547A38"/>
    <w:rsid w:val="00553C2C"/>
    <w:rsid w:val="005543E2"/>
    <w:rsid w:val="005549F0"/>
    <w:rsid w:val="00560825"/>
    <w:rsid w:val="005623E1"/>
    <w:rsid w:val="005648E8"/>
    <w:rsid w:val="00584DF1"/>
    <w:rsid w:val="00587D5C"/>
    <w:rsid w:val="00595183"/>
    <w:rsid w:val="00595B18"/>
    <w:rsid w:val="005A3123"/>
    <w:rsid w:val="005D5E0B"/>
    <w:rsid w:val="005E075A"/>
    <w:rsid w:val="005E07EC"/>
    <w:rsid w:val="005E2054"/>
    <w:rsid w:val="005F0BF3"/>
    <w:rsid w:val="005F27C2"/>
    <w:rsid w:val="005F6F27"/>
    <w:rsid w:val="0060191B"/>
    <w:rsid w:val="00604380"/>
    <w:rsid w:val="00611CA6"/>
    <w:rsid w:val="00614F49"/>
    <w:rsid w:val="006219F5"/>
    <w:rsid w:val="00627FDE"/>
    <w:rsid w:val="00633BA5"/>
    <w:rsid w:val="00634C6B"/>
    <w:rsid w:val="00637168"/>
    <w:rsid w:val="00640ADE"/>
    <w:rsid w:val="00643ABC"/>
    <w:rsid w:val="0065524D"/>
    <w:rsid w:val="00656038"/>
    <w:rsid w:val="006663E7"/>
    <w:rsid w:val="00666A56"/>
    <w:rsid w:val="00671A0D"/>
    <w:rsid w:val="006737D1"/>
    <w:rsid w:val="00677650"/>
    <w:rsid w:val="00677B15"/>
    <w:rsid w:val="00686AAA"/>
    <w:rsid w:val="00695F0E"/>
    <w:rsid w:val="006A4D79"/>
    <w:rsid w:val="006A7B54"/>
    <w:rsid w:val="006B0BD9"/>
    <w:rsid w:val="006B0C43"/>
    <w:rsid w:val="006B12D7"/>
    <w:rsid w:val="006B5D62"/>
    <w:rsid w:val="006C2A93"/>
    <w:rsid w:val="006D1464"/>
    <w:rsid w:val="006D6664"/>
    <w:rsid w:val="006E4AC0"/>
    <w:rsid w:val="006F2D3C"/>
    <w:rsid w:val="006F7221"/>
    <w:rsid w:val="006F7533"/>
    <w:rsid w:val="006F7907"/>
    <w:rsid w:val="007036EE"/>
    <w:rsid w:val="00712EFE"/>
    <w:rsid w:val="007254BA"/>
    <w:rsid w:val="007262B1"/>
    <w:rsid w:val="0072704B"/>
    <w:rsid w:val="0073175F"/>
    <w:rsid w:val="00734DC2"/>
    <w:rsid w:val="007418A9"/>
    <w:rsid w:val="00744189"/>
    <w:rsid w:val="00750FE8"/>
    <w:rsid w:val="00753DF7"/>
    <w:rsid w:val="007541D1"/>
    <w:rsid w:val="00757B3E"/>
    <w:rsid w:val="00766CF1"/>
    <w:rsid w:val="00773005"/>
    <w:rsid w:val="00773448"/>
    <w:rsid w:val="007765FA"/>
    <w:rsid w:val="00781C83"/>
    <w:rsid w:val="00783D81"/>
    <w:rsid w:val="00786789"/>
    <w:rsid w:val="007877DF"/>
    <w:rsid w:val="00790EC5"/>
    <w:rsid w:val="007A3428"/>
    <w:rsid w:val="007A3679"/>
    <w:rsid w:val="007B09F5"/>
    <w:rsid w:val="007B10E3"/>
    <w:rsid w:val="007B235F"/>
    <w:rsid w:val="007C1425"/>
    <w:rsid w:val="007C3BA8"/>
    <w:rsid w:val="007C526A"/>
    <w:rsid w:val="007C61ED"/>
    <w:rsid w:val="007C746A"/>
    <w:rsid w:val="007D064F"/>
    <w:rsid w:val="007D5D14"/>
    <w:rsid w:val="007D7E52"/>
    <w:rsid w:val="007E521C"/>
    <w:rsid w:val="007E7088"/>
    <w:rsid w:val="007F0A9A"/>
    <w:rsid w:val="007F2ABB"/>
    <w:rsid w:val="007F2E6A"/>
    <w:rsid w:val="007F5270"/>
    <w:rsid w:val="007F5BA4"/>
    <w:rsid w:val="008011C4"/>
    <w:rsid w:val="00801702"/>
    <w:rsid w:val="008023DF"/>
    <w:rsid w:val="008039B2"/>
    <w:rsid w:val="008049DC"/>
    <w:rsid w:val="008053DD"/>
    <w:rsid w:val="0080658E"/>
    <w:rsid w:val="00807EBC"/>
    <w:rsid w:val="00816FD3"/>
    <w:rsid w:val="008175D8"/>
    <w:rsid w:val="00817D5C"/>
    <w:rsid w:val="008200FF"/>
    <w:rsid w:val="008240A1"/>
    <w:rsid w:val="00825082"/>
    <w:rsid w:val="00827BAC"/>
    <w:rsid w:val="0083221C"/>
    <w:rsid w:val="00841E8F"/>
    <w:rsid w:val="00851547"/>
    <w:rsid w:val="00860685"/>
    <w:rsid w:val="00861B7C"/>
    <w:rsid w:val="008648EE"/>
    <w:rsid w:val="00866272"/>
    <w:rsid w:val="008724FF"/>
    <w:rsid w:val="00872809"/>
    <w:rsid w:val="008873D3"/>
    <w:rsid w:val="008959E3"/>
    <w:rsid w:val="0089621D"/>
    <w:rsid w:val="008C0662"/>
    <w:rsid w:val="008C249D"/>
    <w:rsid w:val="008C5BBA"/>
    <w:rsid w:val="008D1CC9"/>
    <w:rsid w:val="008E7079"/>
    <w:rsid w:val="00900495"/>
    <w:rsid w:val="00905463"/>
    <w:rsid w:val="00915060"/>
    <w:rsid w:val="00921D23"/>
    <w:rsid w:val="00922180"/>
    <w:rsid w:val="009271AB"/>
    <w:rsid w:val="00941293"/>
    <w:rsid w:val="00942459"/>
    <w:rsid w:val="00942BF8"/>
    <w:rsid w:val="0094319E"/>
    <w:rsid w:val="00946705"/>
    <w:rsid w:val="009510C5"/>
    <w:rsid w:val="009521BC"/>
    <w:rsid w:val="009529DC"/>
    <w:rsid w:val="00956CD3"/>
    <w:rsid w:val="00961819"/>
    <w:rsid w:val="00975C90"/>
    <w:rsid w:val="00981189"/>
    <w:rsid w:val="009843D6"/>
    <w:rsid w:val="0099228B"/>
    <w:rsid w:val="0099315F"/>
    <w:rsid w:val="009A0170"/>
    <w:rsid w:val="009A10F6"/>
    <w:rsid w:val="009A7351"/>
    <w:rsid w:val="009B171A"/>
    <w:rsid w:val="009B1E2B"/>
    <w:rsid w:val="009B2C4A"/>
    <w:rsid w:val="009C0BF2"/>
    <w:rsid w:val="009C0EF4"/>
    <w:rsid w:val="009C7DE3"/>
    <w:rsid w:val="009D0C8F"/>
    <w:rsid w:val="009D26C1"/>
    <w:rsid w:val="009D2790"/>
    <w:rsid w:val="009E0A3F"/>
    <w:rsid w:val="009E26ED"/>
    <w:rsid w:val="009E4145"/>
    <w:rsid w:val="009F51D7"/>
    <w:rsid w:val="009F550F"/>
    <w:rsid w:val="009F6AED"/>
    <w:rsid w:val="009F6CEE"/>
    <w:rsid w:val="00A01685"/>
    <w:rsid w:val="00A0201F"/>
    <w:rsid w:val="00A06296"/>
    <w:rsid w:val="00A0640F"/>
    <w:rsid w:val="00A14639"/>
    <w:rsid w:val="00A24B99"/>
    <w:rsid w:val="00A251E5"/>
    <w:rsid w:val="00A32684"/>
    <w:rsid w:val="00A36064"/>
    <w:rsid w:val="00A4091F"/>
    <w:rsid w:val="00A42C16"/>
    <w:rsid w:val="00A56E6D"/>
    <w:rsid w:val="00A701A8"/>
    <w:rsid w:val="00A761AF"/>
    <w:rsid w:val="00A763DA"/>
    <w:rsid w:val="00A76A81"/>
    <w:rsid w:val="00A84D1B"/>
    <w:rsid w:val="00A859B1"/>
    <w:rsid w:val="00A87E48"/>
    <w:rsid w:val="00A9301F"/>
    <w:rsid w:val="00A96DF7"/>
    <w:rsid w:val="00AA4028"/>
    <w:rsid w:val="00AB2CFA"/>
    <w:rsid w:val="00AC2400"/>
    <w:rsid w:val="00AD2482"/>
    <w:rsid w:val="00AD6E76"/>
    <w:rsid w:val="00AD6F3B"/>
    <w:rsid w:val="00AD7B1A"/>
    <w:rsid w:val="00AE01FC"/>
    <w:rsid w:val="00AE12E4"/>
    <w:rsid w:val="00AE5C01"/>
    <w:rsid w:val="00AE7986"/>
    <w:rsid w:val="00AF163F"/>
    <w:rsid w:val="00AF4604"/>
    <w:rsid w:val="00AF6CB6"/>
    <w:rsid w:val="00AF78C2"/>
    <w:rsid w:val="00B12B31"/>
    <w:rsid w:val="00B1630F"/>
    <w:rsid w:val="00B1768B"/>
    <w:rsid w:val="00B31966"/>
    <w:rsid w:val="00B34808"/>
    <w:rsid w:val="00B50787"/>
    <w:rsid w:val="00B50F3F"/>
    <w:rsid w:val="00B554FC"/>
    <w:rsid w:val="00B57279"/>
    <w:rsid w:val="00B70ADC"/>
    <w:rsid w:val="00B756B1"/>
    <w:rsid w:val="00B77D50"/>
    <w:rsid w:val="00B81409"/>
    <w:rsid w:val="00B81907"/>
    <w:rsid w:val="00B84067"/>
    <w:rsid w:val="00B85430"/>
    <w:rsid w:val="00B869DE"/>
    <w:rsid w:val="00B907E8"/>
    <w:rsid w:val="00B90847"/>
    <w:rsid w:val="00B95829"/>
    <w:rsid w:val="00BA1CAF"/>
    <w:rsid w:val="00BA38B1"/>
    <w:rsid w:val="00BA6DC5"/>
    <w:rsid w:val="00BB0CF8"/>
    <w:rsid w:val="00BB1EC2"/>
    <w:rsid w:val="00BB7C87"/>
    <w:rsid w:val="00BC0952"/>
    <w:rsid w:val="00BC28E1"/>
    <w:rsid w:val="00BC3404"/>
    <w:rsid w:val="00BC4D10"/>
    <w:rsid w:val="00BC5644"/>
    <w:rsid w:val="00BD59D0"/>
    <w:rsid w:val="00BD664E"/>
    <w:rsid w:val="00BE487A"/>
    <w:rsid w:val="00BF308E"/>
    <w:rsid w:val="00BF625E"/>
    <w:rsid w:val="00C02D9B"/>
    <w:rsid w:val="00C13AB0"/>
    <w:rsid w:val="00C162B0"/>
    <w:rsid w:val="00C16FD4"/>
    <w:rsid w:val="00C273EF"/>
    <w:rsid w:val="00C2778C"/>
    <w:rsid w:val="00C35203"/>
    <w:rsid w:val="00C35B18"/>
    <w:rsid w:val="00C40A7C"/>
    <w:rsid w:val="00C46078"/>
    <w:rsid w:val="00C47309"/>
    <w:rsid w:val="00C54964"/>
    <w:rsid w:val="00C72D2F"/>
    <w:rsid w:val="00C73EBD"/>
    <w:rsid w:val="00C811CA"/>
    <w:rsid w:val="00C829CD"/>
    <w:rsid w:val="00C84104"/>
    <w:rsid w:val="00C850B2"/>
    <w:rsid w:val="00C9037B"/>
    <w:rsid w:val="00C9483B"/>
    <w:rsid w:val="00C9518A"/>
    <w:rsid w:val="00CA361E"/>
    <w:rsid w:val="00CA4037"/>
    <w:rsid w:val="00CA61CA"/>
    <w:rsid w:val="00CB3B33"/>
    <w:rsid w:val="00CC4A00"/>
    <w:rsid w:val="00CC7589"/>
    <w:rsid w:val="00CD2839"/>
    <w:rsid w:val="00CD3181"/>
    <w:rsid w:val="00CD69AD"/>
    <w:rsid w:val="00CE6FC7"/>
    <w:rsid w:val="00CF2695"/>
    <w:rsid w:val="00CF3874"/>
    <w:rsid w:val="00D04C03"/>
    <w:rsid w:val="00D10277"/>
    <w:rsid w:val="00D14589"/>
    <w:rsid w:val="00D2338F"/>
    <w:rsid w:val="00D23697"/>
    <w:rsid w:val="00D2433A"/>
    <w:rsid w:val="00D27235"/>
    <w:rsid w:val="00D34FD6"/>
    <w:rsid w:val="00D3601A"/>
    <w:rsid w:val="00D441A7"/>
    <w:rsid w:val="00D4763E"/>
    <w:rsid w:val="00D53ABA"/>
    <w:rsid w:val="00D637A7"/>
    <w:rsid w:val="00D64333"/>
    <w:rsid w:val="00D66C21"/>
    <w:rsid w:val="00D74705"/>
    <w:rsid w:val="00D81799"/>
    <w:rsid w:val="00D955C1"/>
    <w:rsid w:val="00DA328B"/>
    <w:rsid w:val="00DC041E"/>
    <w:rsid w:val="00DD4E5D"/>
    <w:rsid w:val="00DD621F"/>
    <w:rsid w:val="00DD7C0D"/>
    <w:rsid w:val="00DE1DDD"/>
    <w:rsid w:val="00DE4221"/>
    <w:rsid w:val="00DF3DB8"/>
    <w:rsid w:val="00DF4520"/>
    <w:rsid w:val="00DF6048"/>
    <w:rsid w:val="00DF788E"/>
    <w:rsid w:val="00E01678"/>
    <w:rsid w:val="00E31A54"/>
    <w:rsid w:val="00E326CB"/>
    <w:rsid w:val="00E42A86"/>
    <w:rsid w:val="00E44F8F"/>
    <w:rsid w:val="00E51433"/>
    <w:rsid w:val="00E567D2"/>
    <w:rsid w:val="00E572E9"/>
    <w:rsid w:val="00E66B1F"/>
    <w:rsid w:val="00E766B0"/>
    <w:rsid w:val="00E7778E"/>
    <w:rsid w:val="00E80A39"/>
    <w:rsid w:val="00E80DF0"/>
    <w:rsid w:val="00E83FCF"/>
    <w:rsid w:val="00E851D7"/>
    <w:rsid w:val="00E93980"/>
    <w:rsid w:val="00E9744D"/>
    <w:rsid w:val="00EA01B2"/>
    <w:rsid w:val="00EA4B00"/>
    <w:rsid w:val="00EA50F5"/>
    <w:rsid w:val="00EB1340"/>
    <w:rsid w:val="00EB2F5D"/>
    <w:rsid w:val="00EB6B0B"/>
    <w:rsid w:val="00EB7EBA"/>
    <w:rsid w:val="00EC1BA2"/>
    <w:rsid w:val="00EC57CD"/>
    <w:rsid w:val="00ED23EF"/>
    <w:rsid w:val="00ED585A"/>
    <w:rsid w:val="00EE0CE8"/>
    <w:rsid w:val="00EE3514"/>
    <w:rsid w:val="00EE4626"/>
    <w:rsid w:val="00EE63BB"/>
    <w:rsid w:val="00EF6DD7"/>
    <w:rsid w:val="00F00BE3"/>
    <w:rsid w:val="00F06479"/>
    <w:rsid w:val="00F073BA"/>
    <w:rsid w:val="00F13172"/>
    <w:rsid w:val="00F222D3"/>
    <w:rsid w:val="00F32397"/>
    <w:rsid w:val="00F4060E"/>
    <w:rsid w:val="00F4078D"/>
    <w:rsid w:val="00F44E96"/>
    <w:rsid w:val="00F46B93"/>
    <w:rsid w:val="00F53AC5"/>
    <w:rsid w:val="00F6142C"/>
    <w:rsid w:val="00F628C0"/>
    <w:rsid w:val="00F6297A"/>
    <w:rsid w:val="00F62A1A"/>
    <w:rsid w:val="00F70902"/>
    <w:rsid w:val="00F76581"/>
    <w:rsid w:val="00F85D2A"/>
    <w:rsid w:val="00F8659E"/>
    <w:rsid w:val="00F8768D"/>
    <w:rsid w:val="00F938B2"/>
    <w:rsid w:val="00F93BE2"/>
    <w:rsid w:val="00F95E43"/>
    <w:rsid w:val="00F96B85"/>
    <w:rsid w:val="00F96E91"/>
    <w:rsid w:val="00F977DD"/>
    <w:rsid w:val="00FA0DCB"/>
    <w:rsid w:val="00FA123E"/>
    <w:rsid w:val="00FA155B"/>
    <w:rsid w:val="00FA2791"/>
    <w:rsid w:val="00FA4306"/>
    <w:rsid w:val="00FA6092"/>
    <w:rsid w:val="00FB648B"/>
    <w:rsid w:val="00FB770E"/>
    <w:rsid w:val="00FD0718"/>
    <w:rsid w:val="00FD5BFC"/>
    <w:rsid w:val="00FE5DA5"/>
    <w:rsid w:val="00FF25EF"/>
    <w:rsid w:val="00FF365A"/>
    <w:rsid w:val="00FF702C"/>
    <w:rsid w:val="01095726"/>
    <w:rsid w:val="015F116B"/>
    <w:rsid w:val="016E36C0"/>
    <w:rsid w:val="01793570"/>
    <w:rsid w:val="017A63B7"/>
    <w:rsid w:val="017D59D9"/>
    <w:rsid w:val="017F1012"/>
    <w:rsid w:val="01827CD8"/>
    <w:rsid w:val="018E781B"/>
    <w:rsid w:val="019A50CE"/>
    <w:rsid w:val="01BA74CF"/>
    <w:rsid w:val="01E03FBB"/>
    <w:rsid w:val="01F76375"/>
    <w:rsid w:val="02366A4A"/>
    <w:rsid w:val="023E309E"/>
    <w:rsid w:val="0282100B"/>
    <w:rsid w:val="028A16DA"/>
    <w:rsid w:val="02B424B8"/>
    <w:rsid w:val="03025B51"/>
    <w:rsid w:val="030922D2"/>
    <w:rsid w:val="033E071B"/>
    <w:rsid w:val="033E7281"/>
    <w:rsid w:val="034225E7"/>
    <w:rsid w:val="034E3F06"/>
    <w:rsid w:val="034F239A"/>
    <w:rsid w:val="03553F33"/>
    <w:rsid w:val="0372703C"/>
    <w:rsid w:val="03A733AA"/>
    <w:rsid w:val="03BD299A"/>
    <w:rsid w:val="03BE253F"/>
    <w:rsid w:val="03C230FA"/>
    <w:rsid w:val="03DB41BC"/>
    <w:rsid w:val="03E25523"/>
    <w:rsid w:val="03F33E31"/>
    <w:rsid w:val="03FE16E0"/>
    <w:rsid w:val="04087B2D"/>
    <w:rsid w:val="04114264"/>
    <w:rsid w:val="04392360"/>
    <w:rsid w:val="0454202A"/>
    <w:rsid w:val="047F16D2"/>
    <w:rsid w:val="048D65BC"/>
    <w:rsid w:val="049F24DC"/>
    <w:rsid w:val="04C1355E"/>
    <w:rsid w:val="04EB0EA2"/>
    <w:rsid w:val="05162BD8"/>
    <w:rsid w:val="051A0FB1"/>
    <w:rsid w:val="0553487B"/>
    <w:rsid w:val="0554443D"/>
    <w:rsid w:val="055924E3"/>
    <w:rsid w:val="05724FE6"/>
    <w:rsid w:val="05824ED7"/>
    <w:rsid w:val="058938AD"/>
    <w:rsid w:val="05A61B29"/>
    <w:rsid w:val="05BD308A"/>
    <w:rsid w:val="05BF00AF"/>
    <w:rsid w:val="05C70726"/>
    <w:rsid w:val="05D925B0"/>
    <w:rsid w:val="05E21AC6"/>
    <w:rsid w:val="06005216"/>
    <w:rsid w:val="060469D7"/>
    <w:rsid w:val="065E09A6"/>
    <w:rsid w:val="0674157E"/>
    <w:rsid w:val="069F52DC"/>
    <w:rsid w:val="06C07699"/>
    <w:rsid w:val="0701612F"/>
    <w:rsid w:val="07122789"/>
    <w:rsid w:val="071D49F1"/>
    <w:rsid w:val="0739551B"/>
    <w:rsid w:val="074A27AC"/>
    <w:rsid w:val="075D3387"/>
    <w:rsid w:val="076B2DCE"/>
    <w:rsid w:val="07902899"/>
    <w:rsid w:val="07A859D8"/>
    <w:rsid w:val="07B95175"/>
    <w:rsid w:val="07C66F31"/>
    <w:rsid w:val="07C707C7"/>
    <w:rsid w:val="07DA276A"/>
    <w:rsid w:val="07E37AE3"/>
    <w:rsid w:val="081B5071"/>
    <w:rsid w:val="08417FD2"/>
    <w:rsid w:val="086149DF"/>
    <w:rsid w:val="0888203D"/>
    <w:rsid w:val="08B04B04"/>
    <w:rsid w:val="08D066DD"/>
    <w:rsid w:val="08EE1225"/>
    <w:rsid w:val="08EF6207"/>
    <w:rsid w:val="090C43E3"/>
    <w:rsid w:val="091D60C1"/>
    <w:rsid w:val="09363C9B"/>
    <w:rsid w:val="094C2DE1"/>
    <w:rsid w:val="09532ECA"/>
    <w:rsid w:val="09546F6A"/>
    <w:rsid w:val="096F07A6"/>
    <w:rsid w:val="096F1AA2"/>
    <w:rsid w:val="097D3628"/>
    <w:rsid w:val="09800F76"/>
    <w:rsid w:val="09A727B4"/>
    <w:rsid w:val="09A931C6"/>
    <w:rsid w:val="09B6611A"/>
    <w:rsid w:val="09C222A9"/>
    <w:rsid w:val="09C5253E"/>
    <w:rsid w:val="09D1411B"/>
    <w:rsid w:val="09D6355A"/>
    <w:rsid w:val="09F35B14"/>
    <w:rsid w:val="0A265D32"/>
    <w:rsid w:val="0A401CAC"/>
    <w:rsid w:val="0A420254"/>
    <w:rsid w:val="0A472060"/>
    <w:rsid w:val="0A604C09"/>
    <w:rsid w:val="0AA95BB5"/>
    <w:rsid w:val="0AB13939"/>
    <w:rsid w:val="0AB61402"/>
    <w:rsid w:val="0ABE4F76"/>
    <w:rsid w:val="0AC86408"/>
    <w:rsid w:val="0AE41B87"/>
    <w:rsid w:val="0AF1578F"/>
    <w:rsid w:val="0AF67AF0"/>
    <w:rsid w:val="0AF74C65"/>
    <w:rsid w:val="0B00275A"/>
    <w:rsid w:val="0B0E356A"/>
    <w:rsid w:val="0B23147D"/>
    <w:rsid w:val="0B4376D6"/>
    <w:rsid w:val="0B494B1F"/>
    <w:rsid w:val="0B4B3300"/>
    <w:rsid w:val="0B527936"/>
    <w:rsid w:val="0B5824C0"/>
    <w:rsid w:val="0B852F08"/>
    <w:rsid w:val="0B9F1B1F"/>
    <w:rsid w:val="0BBE124B"/>
    <w:rsid w:val="0BE61950"/>
    <w:rsid w:val="0BF05B82"/>
    <w:rsid w:val="0BFF1A8E"/>
    <w:rsid w:val="0C03390C"/>
    <w:rsid w:val="0C045BA9"/>
    <w:rsid w:val="0C0B7BE4"/>
    <w:rsid w:val="0C32700E"/>
    <w:rsid w:val="0C6161F9"/>
    <w:rsid w:val="0C75263A"/>
    <w:rsid w:val="0C9A5954"/>
    <w:rsid w:val="0CC34B5A"/>
    <w:rsid w:val="0CD6380B"/>
    <w:rsid w:val="0CDE5078"/>
    <w:rsid w:val="0D1713F6"/>
    <w:rsid w:val="0D27015E"/>
    <w:rsid w:val="0D2B5BA2"/>
    <w:rsid w:val="0D2D7676"/>
    <w:rsid w:val="0D466EDE"/>
    <w:rsid w:val="0D57649A"/>
    <w:rsid w:val="0D784072"/>
    <w:rsid w:val="0D82621C"/>
    <w:rsid w:val="0DC73E5E"/>
    <w:rsid w:val="0DD04EB5"/>
    <w:rsid w:val="0DDA1988"/>
    <w:rsid w:val="0E18573F"/>
    <w:rsid w:val="0E1E3623"/>
    <w:rsid w:val="0E271C39"/>
    <w:rsid w:val="0E5B52A3"/>
    <w:rsid w:val="0E660EB8"/>
    <w:rsid w:val="0E757009"/>
    <w:rsid w:val="0EB2261F"/>
    <w:rsid w:val="0ECD60EA"/>
    <w:rsid w:val="0F03639C"/>
    <w:rsid w:val="0F5F703C"/>
    <w:rsid w:val="0FA307D8"/>
    <w:rsid w:val="0FB408A8"/>
    <w:rsid w:val="0FC630C6"/>
    <w:rsid w:val="0FD1086C"/>
    <w:rsid w:val="0FE44A5B"/>
    <w:rsid w:val="0FE65D4B"/>
    <w:rsid w:val="100E0093"/>
    <w:rsid w:val="102A23AA"/>
    <w:rsid w:val="10446B8A"/>
    <w:rsid w:val="104D50F2"/>
    <w:rsid w:val="10514F6D"/>
    <w:rsid w:val="10572D77"/>
    <w:rsid w:val="106C5441"/>
    <w:rsid w:val="109C1055"/>
    <w:rsid w:val="10AD1E32"/>
    <w:rsid w:val="10B464C1"/>
    <w:rsid w:val="10B62239"/>
    <w:rsid w:val="10B661A8"/>
    <w:rsid w:val="10BD312A"/>
    <w:rsid w:val="10E664F6"/>
    <w:rsid w:val="10FC6117"/>
    <w:rsid w:val="112E01DD"/>
    <w:rsid w:val="113E2E4A"/>
    <w:rsid w:val="11557AE1"/>
    <w:rsid w:val="11662CD0"/>
    <w:rsid w:val="117B5040"/>
    <w:rsid w:val="11A44306"/>
    <w:rsid w:val="11BE3EF8"/>
    <w:rsid w:val="11E31C9A"/>
    <w:rsid w:val="11E64C96"/>
    <w:rsid w:val="11EC757A"/>
    <w:rsid w:val="11FF279B"/>
    <w:rsid w:val="12665C28"/>
    <w:rsid w:val="127E013D"/>
    <w:rsid w:val="12A013E0"/>
    <w:rsid w:val="12A30F61"/>
    <w:rsid w:val="12B03AEC"/>
    <w:rsid w:val="12D76A9D"/>
    <w:rsid w:val="12D8491F"/>
    <w:rsid w:val="12E1661A"/>
    <w:rsid w:val="12ED6BA2"/>
    <w:rsid w:val="12EF7943"/>
    <w:rsid w:val="12FA22BF"/>
    <w:rsid w:val="12FD414F"/>
    <w:rsid w:val="13152859"/>
    <w:rsid w:val="1319655C"/>
    <w:rsid w:val="13214E77"/>
    <w:rsid w:val="132510E1"/>
    <w:rsid w:val="132F58B1"/>
    <w:rsid w:val="13405F76"/>
    <w:rsid w:val="137E038F"/>
    <w:rsid w:val="138E4720"/>
    <w:rsid w:val="139A394F"/>
    <w:rsid w:val="139F590B"/>
    <w:rsid w:val="13A86740"/>
    <w:rsid w:val="13AC57C9"/>
    <w:rsid w:val="13B173D2"/>
    <w:rsid w:val="13F96797"/>
    <w:rsid w:val="13FB479E"/>
    <w:rsid w:val="1403301A"/>
    <w:rsid w:val="140455A0"/>
    <w:rsid w:val="14507414"/>
    <w:rsid w:val="145817B8"/>
    <w:rsid w:val="145A2571"/>
    <w:rsid w:val="149413C2"/>
    <w:rsid w:val="14A842A6"/>
    <w:rsid w:val="14C14645"/>
    <w:rsid w:val="151E7678"/>
    <w:rsid w:val="15207E48"/>
    <w:rsid w:val="152A66BA"/>
    <w:rsid w:val="1532001A"/>
    <w:rsid w:val="153B1A0E"/>
    <w:rsid w:val="153B3FA2"/>
    <w:rsid w:val="155A15F1"/>
    <w:rsid w:val="157D2D8F"/>
    <w:rsid w:val="159E329B"/>
    <w:rsid w:val="15A05C95"/>
    <w:rsid w:val="15BE5CB6"/>
    <w:rsid w:val="15C27FFC"/>
    <w:rsid w:val="15CE3B81"/>
    <w:rsid w:val="15D32E94"/>
    <w:rsid w:val="160845AA"/>
    <w:rsid w:val="160D3B02"/>
    <w:rsid w:val="162E461F"/>
    <w:rsid w:val="169327F6"/>
    <w:rsid w:val="16C56B06"/>
    <w:rsid w:val="16DB4CE3"/>
    <w:rsid w:val="16F8334B"/>
    <w:rsid w:val="17084E70"/>
    <w:rsid w:val="171A4A3E"/>
    <w:rsid w:val="171C2808"/>
    <w:rsid w:val="17226F91"/>
    <w:rsid w:val="172532D2"/>
    <w:rsid w:val="17417AEF"/>
    <w:rsid w:val="17431FA1"/>
    <w:rsid w:val="17465999"/>
    <w:rsid w:val="1761002E"/>
    <w:rsid w:val="17697BE8"/>
    <w:rsid w:val="176B2144"/>
    <w:rsid w:val="177E005E"/>
    <w:rsid w:val="17943BCD"/>
    <w:rsid w:val="17963C4D"/>
    <w:rsid w:val="17AC3A4F"/>
    <w:rsid w:val="17AF0A3C"/>
    <w:rsid w:val="17C322B1"/>
    <w:rsid w:val="17DC53CF"/>
    <w:rsid w:val="17EA592D"/>
    <w:rsid w:val="17EE68FD"/>
    <w:rsid w:val="17F32385"/>
    <w:rsid w:val="18153CB0"/>
    <w:rsid w:val="18161DDE"/>
    <w:rsid w:val="18363B45"/>
    <w:rsid w:val="183C1BC1"/>
    <w:rsid w:val="184C7C06"/>
    <w:rsid w:val="18522A28"/>
    <w:rsid w:val="18593BE0"/>
    <w:rsid w:val="18701E48"/>
    <w:rsid w:val="18702E37"/>
    <w:rsid w:val="18754DC1"/>
    <w:rsid w:val="18756535"/>
    <w:rsid w:val="18BB267A"/>
    <w:rsid w:val="18D536B7"/>
    <w:rsid w:val="18E4410E"/>
    <w:rsid w:val="19046D46"/>
    <w:rsid w:val="192D2834"/>
    <w:rsid w:val="194750B1"/>
    <w:rsid w:val="19685A6A"/>
    <w:rsid w:val="1973129B"/>
    <w:rsid w:val="197B7525"/>
    <w:rsid w:val="198545E8"/>
    <w:rsid w:val="198D7419"/>
    <w:rsid w:val="19956E98"/>
    <w:rsid w:val="19A023E3"/>
    <w:rsid w:val="19EF78EE"/>
    <w:rsid w:val="19FD61E8"/>
    <w:rsid w:val="1A063160"/>
    <w:rsid w:val="1A0837BB"/>
    <w:rsid w:val="1A207EA8"/>
    <w:rsid w:val="1A53412E"/>
    <w:rsid w:val="1A666985"/>
    <w:rsid w:val="1A69207E"/>
    <w:rsid w:val="1A803824"/>
    <w:rsid w:val="1A805AF6"/>
    <w:rsid w:val="1A8112E5"/>
    <w:rsid w:val="1AB323F6"/>
    <w:rsid w:val="1ABB664C"/>
    <w:rsid w:val="1AD87899"/>
    <w:rsid w:val="1ADA1353"/>
    <w:rsid w:val="1AE57390"/>
    <w:rsid w:val="1AE81E90"/>
    <w:rsid w:val="1AFC70E4"/>
    <w:rsid w:val="1B050D62"/>
    <w:rsid w:val="1B0957BF"/>
    <w:rsid w:val="1B193960"/>
    <w:rsid w:val="1B215B22"/>
    <w:rsid w:val="1B233570"/>
    <w:rsid w:val="1B3426D8"/>
    <w:rsid w:val="1B623861"/>
    <w:rsid w:val="1B695BDA"/>
    <w:rsid w:val="1B790D71"/>
    <w:rsid w:val="1B851CD2"/>
    <w:rsid w:val="1BA74889"/>
    <w:rsid w:val="1BAD2DBB"/>
    <w:rsid w:val="1BF34449"/>
    <w:rsid w:val="1C3642CE"/>
    <w:rsid w:val="1C5A58CD"/>
    <w:rsid w:val="1C6211FE"/>
    <w:rsid w:val="1C747C0A"/>
    <w:rsid w:val="1C9053DD"/>
    <w:rsid w:val="1CA66F63"/>
    <w:rsid w:val="1CAE1250"/>
    <w:rsid w:val="1CBE12DF"/>
    <w:rsid w:val="1CD4426C"/>
    <w:rsid w:val="1CDD321D"/>
    <w:rsid w:val="1D383726"/>
    <w:rsid w:val="1D5C0981"/>
    <w:rsid w:val="1D672B44"/>
    <w:rsid w:val="1DAC18C1"/>
    <w:rsid w:val="1DC100D7"/>
    <w:rsid w:val="1DEF6D8A"/>
    <w:rsid w:val="1E2118F2"/>
    <w:rsid w:val="1E2803D7"/>
    <w:rsid w:val="1E3002F2"/>
    <w:rsid w:val="1E5348E9"/>
    <w:rsid w:val="1E731769"/>
    <w:rsid w:val="1EAE7F57"/>
    <w:rsid w:val="1EBD58B3"/>
    <w:rsid w:val="1EC57AEB"/>
    <w:rsid w:val="1EC75E3D"/>
    <w:rsid w:val="1ECB5B62"/>
    <w:rsid w:val="1ED73BF6"/>
    <w:rsid w:val="1EDE172A"/>
    <w:rsid w:val="1F061F30"/>
    <w:rsid w:val="1F113B0D"/>
    <w:rsid w:val="1F1F1647"/>
    <w:rsid w:val="1F830BB9"/>
    <w:rsid w:val="1F843143"/>
    <w:rsid w:val="1F9E673F"/>
    <w:rsid w:val="1FAD3BF8"/>
    <w:rsid w:val="1FB5494E"/>
    <w:rsid w:val="1FB62191"/>
    <w:rsid w:val="1FBA6874"/>
    <w:rsid w:val="20062E6F"/>
    <w:rsid w:val="20140D2A"/>
    <w:rsid w:val="20161601"/>
    <w:rsid w:val="201D2FF3"/>
    <w:rsid w:val="201E7596"/>
    <w:rsid w:val="20223AA3"/>
    <w:rsid w:val="202658E7"/>
    <w:rsid w:val="202B7569"/>
    <w:rsid w:val="209343CE"/>
    <w:rsid w:val="20BB5C0E"/>
    <w:rsid w:val="20DD1C24"/>
    <w:rsid w:val="20F47693"/>
    <w:rsid w:val="213315D1"/>
    <w:rsid w:val="21477473"/>
    <w:rsid w:val="21583C93"/>
    <w:rsid w:val="21BF0821"/>
    <w:rsid w:val="21C709E5"/>
    <w:rsid w:val="21D108B0"/>
    <w:rsid w:val="21F1456A"/>
    <w:rsid w:val="21FE062B"/>
    <w:rsid w:val="22186472"/>
    <w:rsid w:val="221B5D38"/>
    <w:rsid w:val="221F0316"/>
    <w:rsid w:val="2224429C"/>
    <w:rsid w:val="224D7A95"/>
    <w:rsid w:val="22580F33"/>
    <w:rsid w:val="227105D1"/>
    <w:rsid w:val="22894153"/>
    <w:rsid w:val="22906763"/>
    <w:rsid w:val="22925D60"/>
    <w:rsid w:val="22AB3E44"/>
    <w:rsid w:val="22E0119E"/>
    <w:rsid w:val="23027ABD"/>
    <w:rsid w:val="23224D40"/>
    <w:rsid w:val="23246089"/>
    <w:rsid w:val="23343F07"/>
    <w:rsid w:val="233C569B"/>
    <w:rsid w:val="236930C6"/>
    <w:rsid w:val="2376793F"/>
    <w:rsid w:val="237A70F6"/>
    <w:rsid w:val="23893087"/>
    <w:rsid w:val="23B03833"/>
    <w:rsid w:val="23B3585A"/>
    <w:rsid w:val="23BD6D3B"/>
    <w:rsid w:val="23C07029"/>
    <w:rsid w:val="23D7394D"/>
    <w:rsid w:val="23DE72A1"/>
    <w:rsid w:val="23F958FE"/>
    <w:rsid w:val="24077C2E"/>
    <w:rsid w:val="2422260D"/>
    <w:rsid w:val="242A75A7"/>
    <w:rsid w:val="244C1FE5"/>
    <w:rsid w:val="24531196"/>
    <w:rsid w:val="245454BE"/>
    <w:rsid w:val="24577308"/>
    <w:rsid w:val="247A0FB7"/>
    <w:rsid w:val="248908ED"/>
    <w:rsid w:val="24CE7956"/>
    <w:rsid w:val="24DB06FE"/>
    <w:rsid w:val="24E241FB"/>
    <w:rsid w:val="25191A88"/>
    <w:rsid w:val="251F4E1F"/>
    <w:rsid w:val="2524395A"/>
    <w:rsid w:val="254A2F25"/>
    <w:rsid w:val="256B03E1"/>
    <w:rsid w:val="259B4A19"/>
    <w:rsid w:val="25AF0948"/>
    <w:rsid w:val="25B6652D"/>
    <w:rsid w:val="25B935BA"/>
    <w:rsid w:val="25BA5ED0"/>
    <w:rsid w:val="25BD50CE"/>
    <w:rsid w:val="25BE6D59"/>
    <w:rsid w:val="25BE76BC"/>
    <w:rsid w:val="25CB28CD"/>
    <w:rsid w:val="25FD0DD0"/>
    <w:rsid w:val="261D5A99"/>
    <w:rsid w:val="261E0B2D"/>
    <w:rsid w:val="262E7426"/>
    <w:rsid w:val="263E4636"/>
    <w:rsid w:val="26435EC5"/>
    <w:rsid w:val="265052D8"/>
    <w:rsid w:val="26564D56"/>
    <w:rsid w:val="26580AE6"/>
    <w:rsid w:val="269F4D67"/>
    <w:rsid w:val="26BB7C88"/>
    <w:rsid w:val="26E93ED0"/>
    <w:rsid w:val="26FD6367"/>
    <w:rsid w:val="27083FF7"/>
    <w:rsid w:val="27192B06"/>
    <w:rsid w:val="27222E6C"/>
    <w:rsid w:val="274A360B"/>
    <w:rsid w:val="274A5153"/>
    <w:rsid w:val="275A1ED4"/>
    <w:rsid w:val="276C4F64"/>
    <w:rsid w:val="27736600"/>
    <w:rsid w:val="27AB4887"/>
    <w:rsid w:val="27C13545"/>
    <w:rsid w:val="27C91581"/>
    <w:rsid w:val="27EA4FBC"/>
    <w:rsid w:val="28184A36"/>
    <w:rsid w:val="284D4FC9"/>
    <w:rsid w:val="28573B25"/>
    <w:rsid w:val="285B6627"/>
    <w:rsid w:val="28687E40"/>
    <w:rsid w:val="288A0F97"/>
    <w:rsid w:val="28927587"/>
    <w:rsid w:val="28987466"/>
    <w:rsid w:val="289C089D"/>
    <w:rsid w:val="289D0593"/>
    <w:rsid w:val="28A349F9"/>
    <w:rsid w:val="28C314F6"/>
    <w:rsid w:val="28C32F86"/>
    <w:rsid w:val="28D37497"/>
    <w:rsid w:val="29322D6F"/>
    <w:rsid w:val="293A4FD9"/>
    <w:rsid w:val="294A57BC"/>
    <w:rsid w:val="2957747C"/>
    <w:rsid w:val="2962726E"/>
    <w:rsid w:val="296A61DF"/>
    <w:rsid w:val="2980528D"/>
    <w:rsid w:val="29C537CF"/>
    <w:rsid w:val="29CA7DDC"/>
    <w:rsid w:val="29D62BAC"/>
    <w:rsid w:val="29DC6676"/>
    <w:rsid w:val="29DE76A0"/>
    <w:rsid w:val="2A070FB7"/>
    <w:rsid w:val="2A16345D"/>
    <w:rsid w:val="2A1B45E1"/>
    <w:rsid w:val="2A89168E"/>
    <w:rsid w:val="2A8C3471"/>
    <w:rsid w:val="2A94525C"/>
    <w:rsid w:val="2A9F43CD"/>
    <w:rsid w:val="2AB26B7A"/>
    <w:rsid w:val="2ABD6D86"/>
    <w:rsid w:val="2ACD096A"/>
    <w:rsid w:val="2ADC0F5A"/>
    <w:rsid w:val="2B0D73F9"/>
    <w:rsid w:val="2B0F22F0"/>
    <w:rsid w:val="2B5E10AB"/>
    <w:rsid w:val="2B651583"/>
    <w:rsid w:val="2BAD4F06"/>
    <w:rsid w:val="2BB46983"/>
    <w:rsid w:val="2BD4136D"/>
    <w:rsid w:val="2BF27637"/>
    <w:rsid w:val="2C135605"/>
    <w:rsid w:val="2C4D16F3"/>
    <w:rsid w:val="2C542415"/>
    <w:rsid w:val="2C64767F"/>
    <w:rsid w:val="2C6D55CB"/>
    <w:rsid w:val="2C703E0A"/>
    <w:rsid w:val="2C71638B"/>
    <w:rsid w:val="2C7F3B30"/>
    <w:rsid w:val="2C8D545D"/>
    <w:rsid w:val="2C936D30"/>
    <w:rsid w:val="2CA2447F"/>
    <w:rsid w:val="2CA408C7"/>
    <w:rsid w:val="2CAB3C83"/>
    <w:rsid w:val="2CDB2032"/>
    <w:rsid w:val="2D024E4C"/>
    <w:rsid w:val="2D084A48"/>
    <w:rsid w:val="2D2F0034"/>
    <w:rsid w:val="2D4456E0"/>
    <w:rsid w:val="2D497C56"/>
    <w:rsid w:val="2D52105F"/>
    <w:rsid w:val="2D6B4043"/>
    <w:rsid w:val="2D872E48"/>
    <w:rsid w:val="2D9078B6"/>
    <w:rsid w:val="2DD06243"/>
    <w:rsid w:val="2DED0F9C"/>
    <w:rsid w:val="2DF60C4F"/>
    <w:rsid w:val="2E013ACB"/>
    <w:rsid w:val="2E06259C"/>
    <w:rsid w:val="2E171D47"/>
    <w:rsid w:val="2E1A5175"/>
    <w:rsid w:val="2E285D28"/>
    <w:rsid w:val="2E305236"/>
    <w:rsid w:val="2E374753"/>
    <w:rsid w:val="2E3B306D"/>
    <w:rsid w:val="2E3D6EAA"/>
    <w:rsid w:val="2E9C65F3"/>
    <w:rsid w:val="2EA84813"/>
    <w:rsid w:val="2EB05CFA"/>
    <w:rsid w:val="2ECE6F55"/>
    <w:rsid w:val="2EDE1848"/>
    <w:rsid w:val="2EFB2CC6"/>
    <w:rsid w:val="2F157FEA"/>
    <w:rsid w:val="2F23602E"/>
    <w:rsid w:val="2F2B1BEC"/>
    <w:rsid w:val="2F30259E"/>
    <w:rsid w:val="2F3831BE"/>
    <w:rsid w:val="2F3B0E65"/>
    <w:rsid w:val="2F4740EB"/>
    <w:rsid w:val="2F4D71B6"/>
    <w:rsid w:val="2F516132"/>
    <w:rsid w:val="2F75482D"/>
    <w:rsid w:val="2F83626A"/>
    <w:rsid w:val="2FC55C51"/>
    <w:rsid w:val="2FC86A2C"/>
    <w:rsid w:val="2FD2583A"/>
    <w:rsid w:val="2FF06E00"/>
    <w:rsid w:val="2FF72750"/>
    <w:rsid w:val="2FF72DA2"/>
    <w:rsid w:val="2FF80EB4"/>
    <w:rsid w:val="301C2562"/>
    <w:rsid w:val="302A5A00"/>
    <w:rsid w:val="305E6190"/>
    <w:rsid w:val="3078402B"/>
    <w:rsid w:val="30871FF6"/>
    <w:rsid w:val="30911A03"/>
    <w:rsid w:val="3091291B"/>
    <w:rsid w:val="309613D3"/>
    <w:rsid w:val="30A734F4"/>
    <w:rsid w:val="30A81C54"/>
    <w:rsid w:val="30B6069E"/>
    <w:rsid w:val="30C96D14"/>
    <w:rsid w:val="30E70BEF"/>
    <w:rsid w:val="30E97339"/>
    <w:rsid w:val="3103686E"/>
    <w:rsid w:val="310B3A83"/>
    <w:rsid w:val="311537B7"/>
    <w:rsid w:val="31267E22"/>
    <w:rsid w:val="312C152B"/>
    <w:rsid w:val="31382885"/>
    <w:rsid w:val="315E1E05"/>
    <w:rsid w:val="317E75B8"/>
    <w:rsid w:val="31D7415D"/>
    <w:rsid w:val="31DA46DB"/>
    <w:rsid w:val="31F55532"/>
    <w:rsid w:val="31FB3AF8"/>
    <w:rsid w:val="32043F88"/>
    <w:rsid w:val="3237732D"/>
    <w:rsid w:val="325D3DDD"/>
    <w:rsid w:val="3268446B"/>
    <w:rsid w:val="327A0EEA"/>
    <w:rsid w:val="3293666A"/>
    <w:rsid w:val="32F766FD"/>
    <w:rsid w:val="3305308F"/>
    <w:rsid w:val="331D1716"/>
    <w:rsid w:val="333D492F"/>
    <w:rsid w:val="334B7B27"/>
    <w:rsid w:val="335631BA"/>
    <w:rsid w:val="3367114E"/>
    <w:rsid w:val="336D65D4"/>
    <w:rsid w:val="337E24A5"/>
    <w:rsid w:val="33843F47"/>
    <w:rsid w:val="3386660B"/>
    <w:rsid w:val="33A8380B"/>
    <w:rsid w:val="33AF5D6B"/>
    <w:rsid w:val="33B33DF1"/>
    <w:rsid w:val="33B3759D"/>
    <w:rsid w:val="33E16D1D"/>
    <w:rsid w:val="3418146D"/>
    <w:rsid w:val="342B0ADA"/>
    <w:rsid w:val="344352E2"/>
    <w:rsid w:val="34435D28"/>
    <w:rsid w:val="344E7738"/>
    <w:rsid w:val="3457457F"/>
    <w:rsid w:val="345968B4"/>
    <w:rsid w:val="3462703E"/>
    <w:rsid w:val="346314E0"/>
    <w:rsid w:val="349669AC"/>
    <w:rsid w:val="349B6ECC"/>
    <w:rsid w:val="34AA7AFA"/>
    <w:rsid w:val="34AE15AA"/>
    <w:rsid w:val="34CA5A05"/>
    <w:rsid w:val="34E36A38"/>
    <w:rsid w:val="34EB1005"/>
    <w:rsid w:val="34EE34A0"/>
    <w:rsid w:val="353E2D69"/>
    <w:rsid w:val="35431BC5"/>
    <w:rsid w:val="35494192"/>
    <w:rsid w:val="35BA2EB3"/>
    <w:rsid w:val="35C5696B"/>
    <w:rsid w:val="35CE0114"/>
    <w:rsid w:val="35D9213A"/>
    <w:rsid w:val="360E6608"/>
    <w:rsid w:val="362F1FC2"/>
    <w:rsid w:val="3649667A"/>
    <w:rsid w:val="3668111D"/>
    <w:rsid w:val="367505B2"/>
    <w:rsid w:val="36A37C36"/>
    <w:rsid w:val="36AC32A7"/>
    <w:rsid w:val="36AD0BF6"/>
    <w:rsid w:val="36B84B57"/>
    <w:rsid w:val="36DC3552"/>
    <w:rsid w:val="36E10357"/>
    <w:rsid w:val="36E1605A"/>
    <w:rsid w:val="36ED6E6B"/>
    <w:rsid w:val="370A5A5C"/>
    <w:rsid w:val="370B3BE4"/>
    <w:rsid w:val="37440FB2"/>
    <w:rsid w:val="37444DE7"/>
    <w:rsid w:val="37800753"/>
    <w:rsid w:val="37880A17"/>
    <w:rsid w:val="378974B0"/>
    <w:rsid w:val="37944E25"/>
    <w:rsid w:val="37993963"/>
    <w:rsid w:val="37AD7E29"/>
    <w:rsid w:val="37C02010"/>
    <w:rsid w:val="37DB14DA"/>
    <w:rsid w:val="38107BD1"/>
    <w:rsid w:val="3836369F"/>
    <w:rsid w:val="38565A55"/>
    <w:rsid w:val="386202C2"/>
    <w:rsid w:val="3869290B"/>
    <w:rsid w:val="38A04AB1"/>
    <w:rsid w:val="38CB784F"/>
    <w:rsid w:val="38D550A5"/>
    <w:rsid w:val="38F036E6"/>
    <w:rsid w:val="391334D5"/>
    <w:rsid w:val="392515F3"/>
    <w:rsid w:val="39421360"/>
    <w:rsid w:val="39486C50"/>
    <w:rsid w:val="395806F3"/>
    <w:rsid w:val="395D0256"/>
    <w:rsid w:val="397F1CE7"/>
    <w:rsid w:val="39813127"/>
    <w:rsid w:val="39B00349"/>
    <w:rsid w:val="39E35FEE"/>
    <w:rsid w:val="3A1211A9"/>
    <w:rsid w:val="3A426BEB"/>
    <w:rsid w:val="3A483244"/>
    <w:rsid w:val="3A543F97"/>
    <w:rsid w:val="3A5E6F5D"/>
    <w:rsid w:val="3A6E000C"/>
    <w:rsid w:val="3A7C09D4"/>
    <w:rsid w:val="3A8D17D2"/>
    <w:rsid w:val="3AB6769C"/>
    <w:rsid w:val="3B0C5A39"/>
    <w:rsid w:val="3B136E7E"/>
    <w:rsid w:val="3B350E07"/>
    <w:rsid w:val="3B4E2D12"/>
    <w:rsid w:val="3B585CA8"/>
    <w:rsid w:val="3B6B7911"/>
    <w:rsid w:val="3BBD602C"/>
    <w:rsid w:val="3BCB1B68"/>
    <w:rsid w:val="3BD26C93"/>
    <w:rsid w:val="3BDE5A03"/>
    <w:rsid w:val="3BE17D72"/>
    <w:rsid w:val="3BFB4D42"/>
    <w:rsid w:val="3BFF0D5D"/>
    <w:rsid w:val="3C2B2E51"/>
    <w:rsid w:val="3C3A0FC3"/>
    <w:rsid w:val="3C434119"/>
    <w:rsid w:val="3C44431A"/>
    <w:rsid w:val="3C5B5B90"/>
    <w:rsid w:val="3C5E2F61"/>
    <w:rsid w:val="3C7F2914"/>
    <w:rsid w:val="3C8E444E"/>
    <w:rsid w:val="3C903AD9"/>
    <w:rsid w:val="3C974345"/>
    <w:rsid w:val="3C9D7253"/>
    <w:rsid w:val="3CAF2121"/>
    <w:rsid w:val="3CBC7181"/>
    <w:rsid w:val="3CD464F7"/>
    <w:rsid w:val="3CDB6747"/>
    <w:rsid w:val="3D0C5EB7"/>
    <w:rsid w:val="3D0F0457"/>
    <w:rsid w:val="3D1D229A"/>
    <w:rsid w:val="3D417AC7"/>
    <w:rsid w:val="3D4470F6"/>
    <w:rsid w:val="3D4A6944"/>
    <w:rsid w:val="3D8C3876"/>
    <w:rsid w:val="3D8F71BF"/>
    <w:rsid w:val="3DEE245F"/>
    <w:rsid w:val="3DF0362C"/>
    <w:rsid w:val="3DF7E271"/>
    <w:rsid w:val="3DF841C2"/>
    <w:rsid w:val="3E0E496F"/>
    <w:rsid w:val="3E107393"/>
    <w:rsid w:val="3E1B103C"/>
    <w:rsid w:val="3E3826A5"/>
    <w:rsid w:val="3E6D64AD"/>
    <w:rsid w:val="3E8C65C2"/>
    <w:rsid w:val="3E8E4668"/>
    <w:rsid w:val="3E922D07"/>
    <w:rsid w:val="3EDB7B58"/>
    <w:rsid w:val="3EDC6A5F"/>
    <w:rsid w:val="3EE83100"/>
    <w:rsid w:val="3EEA1BBC"/>
    <w:rsid w:val="3F031C2E"/>
    <w:rsid w:val="3F0D11F3"/>
    <w:rsid w:val="3F1E7165"/>
    <w:rsid w:val="3F3271BB"/>
    <w:rsid w:val="3F6F45DC"/>
    <w:rsid w:val="3F7A0E4B"/>
    <w:rsid w:val="3F863274"/>
    <w:rsid w:val="3F981EA6"/>
    <w:rsid w:val="3FB84660"/>
    <w:rsid w:val="3FBA3515"/>
    <w:rsid w:val="4048753C"/>
    <w:rsid w:val="409E2E08"/>
    <w:rsid w:val="40AE70CE"/>
    <w:rsid w:val="40B150E4"/>
    <w:rsid w:val="40B87AAB"/>
    <w:rsid w:val="41034138"/>
    <w:rsid w:val="41213BD0"/>
    <w:rsid w:val="412E5C18"/>
    <w:rsid w:val="413401E0"/>
    <w:rsid w:val="413E1970"/>
    <w:rsid w:val="41416405"/>
    <w:rsid w:val="41542CB1"/>
    <w:rsid w:val="416A2B6F"/>
    <w:rsid w:val="416F0C51"/>
    <w:rsid w:val="418D1221"/>
    <w:rsid w:val="41A767BD"/>
    <w:rsid w:val="41C14893"/>
    <w:rsid w:val="41CE2E0E"/>
    <w:rsid w:val="41DC65BA"/>
    <w:rsid w:val="41E42714"/>
    <w:rsid w:val="41E81492"/>
    <w:rsid w:val="41EE0F25"/>
    <w:rsid w:val="41FE793C"/>
    <w:rsid w:val="42636C04"/>
    <w:rsid w:val="42923215"/>
    <w:rsid w:val="429338D8"/>
    <w:rsid w:val="42976056"/>
    <w:rsid w:val="42AA6D68"/>
    <w:rsid w:val="42AD5B00"/>
    <w:rsid w:val="42AF5FF2"/>
    <w:rsid w:val="42B67C52"/>
    <w:rsid w:val="42C55156"/>
    <w:rsid w:val="42CA196C"/>
    <w:rsid w:val="42D6505E"/>
    <w:rsid w:val="43023CE8"/>
    <w:rsid w:val="430C4657"/>
    <w:rsid w:val="43483A2E"/>
    <w:rsid w:val="43530FB4"/>
    <w:rsid w:val="43547FC2"/>
    <w:rsid w:val="43647533"/>
    <w:rsid w:val="437D1E4F"/>
    <w:rsid w:val="43A96511"/>
    <w:rsid w:val="43D24D72"/>
    <w:rsid w:val="43DC27C8"/>
    <w:rsid w:val="43F82664"/>
    <w:rsid w:val="443139C5"/>
    <w:rsid w:val="44635CDA"/>
    <w:rsid w:val="447659ED"/>
    <w:rsid w:val="44A15CA4"/>
    <w:rsid w:val="44D74E43"/>
    <w:rsid w:val="44EE6DE0"/>
    <w:rsid w:val="450E345C"/>
    <w:rsid w:val="45262AFA"/>
    <w:rsid w:val="453E153E"/>
    <w:rsid w:val="45472917"/>
    <w:rsid w:val="4557660A"/>
    <w:rsid w:val="4557775E"/>
    <w:rsid w:val="45A71758"/>
    <w:rsid w:val="45AE0D7A"/>
    <w:rsid w:val="45AE602C"/>
    <w:rsid w:val="45BF6D07"/>
    <w:rsid w:val="45C3359D"/>
    <w:rsid w:val="45E158E1"/>
    <w:rsid w:val="45F937F3"/>
    <w:rsid w:val="45FB3E84"/>
    <w:rsid w:val="46077D4C"/>
    <w:rsid w:val="460C0745"/>
    <w:rsid w:val="46126AB5"/>
    <w:rsid w:val="461B10D3"/>
    <w:rsid w:val="46394F03"/>
    <w:rsid w:val="46530DA1"/>
    <w:rsid w:val="465C7AFA"/>
    <w:rsid w:val="469B188E"/>
    <w:rsid w:val="472F3126"/>
    <w:rsid w:val="47300784"/>
    <w:rsid w:val="476348DF"/>
    <w:rsid w:val="47660AB5"/>
    <w:rsid w:val="47696E92"/>
    <w:rsid w:val="476B783C"/>
    <w:rsid w:val="477A2ED6"/>
    <w:rsid w:val="478425E5"/>
    <w:rsid w:val="47951ABC"/>
    <w:rsid w:val="479B0714"/>
    <w:rsid w:val="47C76D68"/>
    <w:rsid w:val="47CE228E"/>
    <w:rsid w:val="47CF0BFD"/>
    <w:rsid w:val="47E64EFB"/>
    <w:rsid w:val="48005281"/>
    <w:rsid w:val="480D18E1"/>
    <w:rsid w:val="481961B2"/>
    <w:rsid w:val="481C22D1"/>
    <w:rsid w:val="48276B38"/>
    <w:rsid w:val="4838537D"/>
    <w:rsid w:val="48481840"/>
    <w:rsid w:val="48743AD6"/>
    <w:rsid w:val="488C6E91"/>
    <w:rsid w:val="48A30128"/>
    <w:rsid w:val="49273CA7"/>
    <w:rsid w:val="492C413F"/>
    <w:rsid w:val="493B5004"/>
    <w:rsid w:val="494517A4"/>
    <w:rsid w:val="4947529B"/>
    <w:rsid w:val="495D025D"/>
    <w:rsid w:val="4971793A"/>
    <w:rsid w:val="497872D9"/>
    <w:rsid w:val="49792B85"/>
    <w:rsid w:val="49D53E08"/>
    <w:rsid w:val="49DF46A6"/>
    <w:rsid w:val="49E32654"/>
    <w:rsid w:val="49EA5B2F"/>
    <w:rsid w:val="49EC0451"/>
    <w:rsid w:val="4A016917"/>
    <w:rsid w:val="4A0A0C5C"/>
    <w:rsid w:val="4A156DC3"/>
    <w:rsid w:val="4A1A5EE3"/>
    <w:rsid w:val="4A5E0971"/>
    <w:rsid w:val="4A630AA7"/>
    <w:rsid w:val="4A64025F"/>
    <w:rsid w:val="4AA70752"/>
    <w:rsid w:val="4AC3248F"/>
    <w:rsid w:val="4AC61191"/>
    <w:rsid w:val="4AED7A99"/>
    <w:rsid w:val="4AF61408"/>
    <w:rsid w:val="4AF876DD"/>
    <w:rsid w:val="4B0213D5"/>
    <w:rsid w:val="4B1631AB"/>
    <w:rsid w:val="4B2561A6"/>
    <w:rsid w:val="4B2D0EFB"/>
    <w:rsid w:val="4B36671F"/>
    <w:rsid w:val="4B3E53D8"/>
    <w:rsid w:val="4B401FEA"/>
    <w:rsid w:val="4B4B4D50"/>
    <w:rsid w:val="4B591595"/>
    <w:rsid w:val="4B857305"/>
    <w:rsid w:val="4B8E7E00"/>
    <w:rsid w:val="4B9B27B8"/>
    <w:rsid w:val="4BA34B8C"/>
    <w:rsid w:val="4BC10B7D"/>
    <w:rsid w:val="4BD72573"/>
    <w:rsid w:val="4BDA6EE9"/>
    <w:rsid w:val="4BE06108"/>
    <w:rsid w:val="4C0E71E8"/>
    <w:rsid w:val="4C1A02CE"/>
    <w:rsid w:val="4C403F26"/>
    <w:rsid w:val="4C581581"/>
    <w:rsid w:val="4C5C2FC1"/>
    <w:rsid w:val="4C5E02FF"/>
    <w:rsid w:val="4C5E3F83"/>
    <w:rsid w:val="4C6A1041"/>
    <w:rsid w:val="4C7F0C92"/>
    <w:rsid w:val="4C982558"/>
    <w:rsid w:val="4C9C3955"/>
    <w:rsid w:val="4C9E1E1D"/>
    <w:rsid w:val="4CA52DF1"/>
    <w:rsid w:val="4CB01127"/>
    <w:rsid w:val="4CDE4108"/>
    <w:rsid w:val="4CE2169D"/>
    <w:rsid w:val="4CEC3A6D"/>
    <w:rsid w:val="4CFC3B89"/>
    <w:rsid w:val="4D0E6D0D"/>
    <w:rsid w:val="4D18231C"/>
    <w:rsid w:val="4D2A0DFA"/>
    <w:rsid w:val="4D2E3BCD"/>
    <w:rsid w:val="4D300517"/>
    <w:rsid w:val="4D330192"/>
    <w:rsid w:val="4D38003F"/>
    <w:rsid w:val="4D447D52"/>
    <w:rsid w:val="4D4756ED"/>
    <w:rsid w:val="4D733FD6"/>
    <w:rsid w:val="4D8C4B13"/>
    <w:rsid w:val="4D8E10B5"/>
    <w:rsid w:val="4DBC7473"/>
    <w:rsid w:val="4DD2381A"/>
    <w:rsid w:val="4DDB2C1E"/>
    <w:rsid w:val="4DF12143"/>
    <w:rsid w:val="4E0B5D17"/>
    <w:rsid w:val="4E0F6B01"/>
    <w:rsid w:val="4E3625E9"/>
    <w:rsid w:val="4E3A43C4"/>
    <w:rsid w:val="4E3D5A9D"/>
    <w:rsid w:val="4E457D0C"/>
    <w:rsid w:val="4E541080"/>
    <w:rsid w:val="4E632555"/>
    <w:rsid w:val="4E7411FA"/>
    <w:rsid w:val="4E807499"/>
    <w:rsid w:val="4E8A4F3C"/>
    <w:rsid w:val="4E902D9A"/>
    <w:rsid w:val="4E951E63"/>
    <w:rsid w:val="4E963F10"/>
    <w:rsid w:val="4EA876C9"/>
    <w:rsid w:val="4EDE4702"/>
    <w:rsid w:val="4EFA56A7"/>
    <w:rsid w:val="4F12268E"/>
    <w:rsid w:val="4F126E38"/>
    <w:rsid w:val="4F152410"/>
    <w:rsid w:val="4F162B56"/>
    <w:rsid w:val="4F267C18"/>
    <w:rsid w:val="4F3331B4"/>
    <w:rsid w:val="4F3D2ADF"/>
    <w:rsid w:val="4F3D4A43"/>
    <w:rsid w:val="4F573452"/>
    <w:rsid w:val="4F6158D6"/>
    <w:rsid w:val="4F911318"/>
    <w:rsid w:val="4F9903FF"/>
    <w:rsid w:val="4FA72F23"/>
    <w:rsid w:val="4FAB04B3"/>
    <w:rsid w:val="4FC1077C"/>
    <w:rsid w:val="4FC95058"/>
    <w:rsid w:val="4FD54A51"/>
    <w:rsid w:val="50017A90"/>
    <w:rsid w:val="504D5317"/>
    <w:rsid w:val="50516376"/>
    <w:rsid w:val="505A0E20"/>
    <w:rsid w:val="505E0265"/>
    <w:rsid w:val="50736ECC"/>
    <w:rsid w:val="508F09E8"/>
    <w:rsid w:val="50951A14"/>
    <w:rsid w:val="509A0304"/>
    <w:rsid w:val="50A2775B"/>
    <w:rsid w:val="50AC480A"/>
    <w:rsid w:val="50B7373E"/>
    <w:rsid w:val="50EF1D8A"/>
    <w:rsid w:val="50F300ED"/>
    <w:rsid w:val="50FA46A5"/>
    <w:rsid w:val="51065A8E"/>
    <w:rsid w:val="51265C36"/>
    <w:rsid w:val="51650DEB"/>
    <w:rsid w:val="519177E7"/>
    <w:rsid w:val="519D2EE5"/>
    <w:rsid w:val="51A2475F"/>
    <w:rsid w:val="51B57D4D"/>
    <w:rsid w:val="51C20C87"/>
    <w:rsid w:val="51CB4482"/>
    <w:rsid w:val="51D037A3"/>
    <w:rsid w:val="51DB6A45"/>
    <w:rsid w:val="51EE3376"/>
    <w:rsid w:val="51FF3995"/>
    <w:rsid w:val="520D3D7B"/>
    <w:rsid w:val="521116D9"/>
    <w:rsid w:val="5212073A"/>
    <w:rsid w:val="52177DF4"/>
    <w:rsid w:val="522B3756"/>
    <w:rsid w:val="52524E89"/>
    <w:rsid w:val="5264005D"/>
    <w:rsid w:val="52725D78"/>
    <w:rsid w:val="52A065D9"/>
    <w:rsid w:val="52A3250B"/>
    <w:rsid w:val="52AA745B"/>
    <w:rsid w:val="52B600BA"/>
    <w:rsid w:val="52BD3540"/>
    <w:rsid w:val="52C31FDF"/>
    <w:rsid w:val="52CB118B"/>
    <w:rsid w:val="52CC1E87"/>
    <w:rsid w:val="52D63F42"/>
    <w:rsid w:val="52EB7689"/>
    <w:rsid w:val="531D2D47"/>
    <w:rsid w:val="53215E4A"/>
    <w:rsid w:val="53266987"/>
    <w:rsid w:val="532D46D9"/>
    <w:rsid w:val="53484C31"/>
    <w:rsid w:val="536548F4"/>
    <w:rsid w:val="53675D94"/>
    <w:rsid w:val="5388770A"/>
    <w:rsid w:val="53AC2173"/>
    <w:rsid w:val="53C810FE"/>
    <w:rsid w:val="53D82B64"/>
    <w:rsid w:val="53F9365B"/>
    <w:rsid w:val="53FC2BBB"/>
    <w:rsid w:val="54576017"/>
    <w:rsid w:val="54722583"/>
    <w:rsid w:val="54980C4E"/>
    <w:rsid w:val="54AB3F1A"/>
    <w:rsid w:val="54AB4AB2"/>
    <w:rsid w:val="54AB6860"/>
    <w:rsid w:val="54D2093A"/>
    <w:rsid w:val="54D36C5B"/>
    <w:rsid w:val="54E3249D"/>
    <w:rsid w:val="54E62D42"/>
    <w:rsid w:val="54EC6E6B"/>
    <w:rsid w:val="54F8789E"/>
    <w:rsid w:val="54FB7029"/>
    <w:rsid w:val="55040267"/>
    <w:rsid w:val="552F123F"/>
    <w:rsid w:val="554776E0"/>
    <w:rsid w:val="55835D8A"/>
    <w:rsid w:val="558F2125"/>
    <w:rsid w:val="55A734CB"/>
    <w:rsid w:val="55B059A5"/>
    <w:rsid w:val="56084346"/>
    <w:rsid w:val="560C744E"/>
    <w:rsid w:val="562B157A"/>
    <w:rsid w:val="56375B84"/>
    <w:rsid w:val="563C1642"/>
    <w:rsid w:val="569A7279"/>
    <w:rsid w:val="569E7BA0"/>
    <w:rsid w:val="569F0845"/>
    <w:rsid w:val="569F5902"/>
    <w:rsid w:val="56A30FEF"/>
    <w:rsid w:val="56C04491"/>
    <w:rsid w:val="56CF59E9"/>
    <w:rsid w:val="56DE2701"/>
    <w:rsid w:val="56EE4D73"/>
    <w:rsid w:val="56FF5B20"/>
    <w:rsid w:val="57041E39"/>
    <w:rsid w:val="570A5604"/>
    <w:rsid w:val="571F63A1"/>
    <w:rsid w:val="57343A6C"/>
    <w:rsid w:val="57443AB3"/>
    <w:rsid w:val="574E2FB6"/>
    <w:rsid w:val="57640A44"/>
    <w:rsid w:val="576B3A70"/>
    <w:rsid w:val="576D24F2"/>
    <w:rsid w:val="576E5B59"/>
    <w:rsid w:val="5774113E"/>
    <w:rsid w:val="577E64AD"/>
    <w:rsid w:val="57A17EEF"/>
    <w:rsid w:val="57BB34E2"/>
    <w:rsid w:val="57CD6430"/>
    <w:rsid w:val="57CF4173"/>
    <w:rsid w:val="57D66D53"/>
    <w:rsid w:val="57EB088D"/>
    <w:rsid w:val="57EB7116"/>
    <w:rsid w:val="57F52D55"/>
    <w:rsid w:val="58396D1E"/>
    <w:rsid w:val="587B1BD9"/>
    <w:rsid w:val="5889335C"/>
    <w:rsid w:val="58AA1299"/>
    <w:rsid w:val="58C63437"/>
    <w:rsid w:val="58DE4193"/>
    <w:rsid w:val="58E149BC"/>
    <w:rsid w:val="58ED1FCC"/>
    <w:rsid w:val="58F23141"/>
    <w:rsid w:val="58F92480"/>
    <w:rsid w:val="58FF3042"/>
    <w:rsid w:val="5921677B"/>
    <w:rsid w:val="592C4FB9"/>
    <w:rsid w:val="592D1F39"/>
    <w:rsid w:val="59450A80"/>
    <w:rsid w:val="594E74B6"/>
    <w:rsid w:val="595C5ED8"/>
    <w:rsid w:val="596F6920"/>
    <w:rsid w:val="59776001"/>
    <w:rsid w:val="597A4916"/>
    <w:rsid w:val="599C1BEA"/>
    <w:rsid w:val="5A137A97"/>
    <w:rsid w:val="5A271F8F"/>
    <w:rsid w:val="5A2A05D7"/>
    <w:rsid w:val="5A2C1E6B"/>
    <w:rsid w:val="5A3E0BCA"/>
    <w:rsid w:val="5A465B42"/>
    <w:rsid w:val="5A91210F"/>
    <w:rsid w:val="5A9A6C18"/>
    <w:rsid w:val="5AA47222"/>
    <w:rsid w:val="5AB07A58"/>
    <w:rsid w:val="5AB55CF3"/>
    <w:rsid w:val="5AC8016B"/>
    <w:rsid w:val="5AF31DCB"/>
    <w:rsid w:val="5AF75705"/>
    <w:rsid w:val="5AFD1B80"/>
    <w:rsid w:val="5B0108AD"/>
    <w:rsid w:val="5B024480"/>
    <w:rsid w:val="5B053C24"/>
    <w:rsid w:val="5B0B7296"/>
    <w:rsid w:val="5B152714"/>
    <w:rsid w:val="5B1831DF"/>
    <w:rsid w:val="5B2027D8"/>
    <w:rsid w:val="5B483AF0"/>
    <w:rsid w:val="5B5048D9"/>
    <w:rsid w:val="5B535DDF"/>
    <w:rsid w:val="5B607C63"/>
    <w:rsid w:val="5BA21E3C"/>
    <w:rsid w:val="5BA2690F"/>
    <w:rsid w:val="5BA47854"/>
    <w:rsid w:val="5BB83B4F"/>
    <w:rsid w:val="5BCD2674"/>
    <w:rsid w:val="5BCF1086"/>
    <w:rsid w:val="5BF362D8"/>
    <w:rsid w:val="5C07081F"/>
    <w:rsid w:val="5C22795B"/>
    <w:rsid w:val="5C3A74E7"/>
    <w:rsid w:val="5C4E644E"/>
    <w:rsid w:val="5C5F52A8"/>
    <w:rsid w:val="5C6265ED"/>
    <w:rsid w:val="5C6519F1"/>
    <w:rsid w:val="5C7A0C64"/>
    <w:rsid w:val="5C7E2AB3"/>
    <w:rsid w:val="5C967B80"/>
    <w:rsid w:val="5C991007"/>
    <w:rsid w:val="5CB5529D"/>
    <w:rsid w:val="5CCC00B8"/>
    <w:rsid w:val="5CD87513"/>
    <w:rsid w:val="5CF462BB"/>
    <w:rsid w:val="5D014C13"/>
    <w:rsid w:val="5D284EF1"/>
    <w:rsid w:val="5D352CFB"/>
    <w:rsid w:val="5D887F7A"/>
    <w:rsid w:val="5DB35577"/>
    <w:rsid w:val="5DB93A51"/>
    <w:rsid w:val="5DBC761D"/>
    <w:rsid w:val="5DD87A94"/>
    <w:rsid w:val="5DF54C38"/>
    <w:rsid w:val="5DF75369"/>
    <w:rsid w:val="5DF970FB"/>
    <w:rsid w:val="5E2B736D"/>
    <w:rsid w:val="5E2E3CDC"/>
    <w:rsid w:val="5E36006E"/>
    <w:rsid w:val="5E386C91"/>
    <w:rsid w:val="5E477670"/>
    <w:rsid w:val="5E7A52FC"/>
    <w:rsid w:val="5EAE33B7"/>
    <w:rsid w:val="5EEF4A21"/>
    <w:rsid w:val="5EFB3230"/>
    <w:rsid w:val="5EFD1D0E"/>
    <w:rsid w:val="5EFF17CF"/>
    <w:rsid w:val="5F4F48F7"/>
    <w:rsid w:val="5F593BA6"/>
    <w:rsid w:val="5F6E6E08"/>
    <w:rsid w:val="5F832D98"/>
    <w:rsid w:val="5F8E0B5E"/>
    <w:rsid w:val="5F8F74AA"/>
    <w:rsid w:val="5F9A68CC"/>
    <w:rsid w:val="5FA837C7"/>
    <w:rsid w:val="5FAB391A"/>
    <w:rsid w:val="5FBE7392"/>
    <w:rsid w:val="5FFB5088"/>
    <w:rsid w:val="5FFC52E1"/>
    <w:rsid w:val="60044FA7"/>
    <w:rsid w:val="6013153C"/>
    <w:rsid w:val="601653CE"/>
    <w:rsid w:val="601D6045"/>
    <w:rsid w:val="6025250E"/>
    <w:rsid w:val="603501D3"/>
    <w:rsid w:val="60485B0B"/>
    <w:rsid w:val="606F5341"/>
    <w:rsid w:val="607120B7"/>
    <w:rsid w:val="60A00754"/>
    <w:rsid w:val="60D206ED"/>
    <w:rsid w:val="60D57A47"/>
    <w:rsid w:val="60E530F9"/>
    <w:rsid w:val="60F95EBB"/>
    <w:rsid w:val="611723EC"/>
    <w:rsid w:val="611B14B9"/>
    <w:rsid w:val="614C4E16"/>
    <w:rsid w:val="61571301"/>
    <w:rsid w:val="6177551E"/>
    <w:rsid w:val="618C2288"/>
    <w:rsid w:val="619051AE"/>
    <w:rsid w:val="61923BD6"/>
    <w:rsid w:val="61B30784"/>
    <w:rsid w:val="61CF4EBB"/>
    <w:rsid w:val="62143825"/>
    <w:rsid w:val="621E1577"/>
    <w:rsid w:val="622D6EC6"/>
    <w:rsid w:val="625152A3"/>
    <w:rsid w:val="62601BB3"/>
    <w:rsid w:val="62A4331E"/>
    <w:rsid w:val="62C4669C"/>
    <w:rsid w:val="62CE7444"/>
    <w:rsid w:val="630A602B"/>
    <w:rsid w:val="631669F1"/>
    <w:rsid w:val="631828CB"/>
    <w:rsid w:val="63230B14"/>
    <w:rsid w:val="63353CD1"/>
    <w:rsid w:val="63496BD8"/>
    <w:rsid w:val="636E17F4"/>
    <w:rsid w:val="639327CE"/>
    <w:rsid w:val="63994616"/>
    <w:rsid w:val="63A526FB"/>
    <w:rsid w:val="63A658AA"/>
    <w:rsid w:val="63A66A5D"/>
    <w:rsid w:val="63A90832"/>
    <w:rsid w:val="63E22827"/>
    <w:rsid w:val="63EA24F1"/>
    <w:rsid w:val="63F0010D"/>
    <w:rsid w:val="64152A95"/>
    <w:rsid w:val="64463330"/>
    <w:rsid w:val="645262B1"/>
    <w:rsid w:val="645A5301"/>
    <w:rsid w:val="645D36AC"/>
    <w:rsid w:val="64675F32"/>
    <w:rsid w:val="64807599"/>
    <w:rsid w:val="64B05FA0"/>
    <w:rsid w:val="64B30E46"/>
    <w:rsid w:val="64B928D3"/>
    <w:rsid w:val="64BF3729"/>
    <w:rsid w:val="64C501A5"/>
    <w:rsid w:val="64C523D5"/>
    <w:rsid w:val="64EC2CA8"/>
    <w:rsid w:val="65037FF2"/>
    <w:rsid w:val="651B6336"/>
    <w:rsid w:val="652D29D5"/>
    <w:rsid w:val="65474F27"/>
    <w:rsid w:val="65530BF6"/>
    <w:rsid w:val="65687C86"/>
    <w:rsid w:val="656C2F0A"/>
    <w:rsid w:val="657E2663"/>
    <w:rsid w:val="65855790"/>
    <w:rsid w:val="65D04B54"/>
    <w:rsid w:val="66111688"/>
    <w:rsid w:val="661701F9"/>
    <w:rsid w:val="661737AC"/>
    <w:rsid w:val="661C25AC"/>
    <w:rsid w:val="66544CDD"/>
    <w:rsid w:val="6659546A"/>
    <w:rsid w:val="665C1BE6"/>
    <w:rsid w:val="66677925"/>
    <w:rsid w:val="66835DA9"/>
    <w:rsid w:val="669C4952"/>
    <w:rsid w:val="669D7F30"/>
    <w:rsid w:val="66A47813"/>
    <w:rsid w:val="66B73C9E"/>
    <w:rsid w:val="66C322BF"/>
    <w:rsid w:val="66D85B53"/>
    <w:rsid w:val="66ED4BD4"/>
    <w:rsid w:val="66F039D9"/>
    <w:rsid w:val="66FF87D1"/>
    <w:rsid w:val="67010561"/>
    <w:rsid w:val="67103FF7"/>
    <w:rsid w:val="67145C03"/>
    <w:rsid w:val="6768544B"/>
    <w:rsid w:val="67714FEF"/>
    <w:rsid w:val="6792286B"/>
    <w:rsid w:val="67AF7FBD"/>
    <w:rsid w:val="67CB5B84"/>
    <w:rsid w:val="67CF59B1"/>
    <w:rsid w:val="67D1228A"/>
    <w:rsid w:val="67D82672"/>
    <w:rsid w:val="67F13EF7"/>
    <w:rsid w:val="680378DA"/>
    <w:rsid w:val="68060D49"/>
    <w:rsid w:val="680B72D0"/>
    <w:rsid w:val="680C2DF3"/>
    <w:rsid w:val="682E49EC"/>
    <w:rsid w:val="68347C6C"/>
    <w:rsid w:val="683D35E5"/>
    <w:rsid w:val="68427069"/>
    <w:rsid w:val="686E29FA"/>
    <w:rsid w:val="68744D12"/>
    <w:rsid w:val="688250B3"/>
    <w:rsid w:val="688C445A"/>
    <w:rsid w:val="68BE0405"/>
    <w:rsid w:val="68D35C9F"/>
    <w:rsid w:val="68D700DE"/>
    <w:rsid w:val="68DB0CD5"/>
    <w:rsid w:val="68E10719"/>
    <w:rsid w:val="68E22B66"/>
    <w:rsid w:val="68E86DBE"/>
    <w:rsid w:val="68F62348"/>
    <w:rsid w:val="691D476B"/>
    <w:rsid w:val="692A1B1D"/>
    <w:rsid w:val="69354780"/>
    <w:rsid w:val="6940100D"/>
    <w:rsid w:val="694D7D50"/>
    <w:rsid w:val="697274F4"/>
    <w:rsid w:val="69747859"/>
    <w:rsid w:val="69851621"/>
    <w:rsid w:val="69A200AE"/>
    <w:rsid w:val="69CFA172"/>
    <w:rsid w:val="69D27D2C"/>
    <w:rsid w:val="69D91DF4"/>
    <w:rsid w:val="69DF3C80"/>
    <w:rsid w:val="69EA551E"/>
    <w:rsid w:val="69EC37A6"/>
    <w:rsid w:val="6A0F7894"/>
    <w:rsid w:val="6A2C6DED"/>
    <w:rsid w:val="6A601AAF"/>
    <w:rsid w:val="6A857365"/>
    <w:rsid w:val="6A864F77"/>
    <w:rsid w:val="6A8D23C1"/>
    <w:rsid w:val="6AB95CF6"/>
    <w:rsid w:val="6AD172DE"/>
    <w:rsid w:val="6AE85CC0"/>
    <w:rsid w:val="6B0024C4"/>
    <w:rsid w:val="6B004E08"/>
    <w:rsid w:val="6B247036"/>
    <w:rsid w:val="6B435DE8"/>
    <w:rsid w:val="6B5178BB"/>
    <w:rsid w:val="6B5F3261"/>
    <w:rsid w:val="6B6509F3"/>
    <w:rsid w:val="6B737FB3"/>
    <w:rsid w:val="6B9551F6"/>
    <w:rsid w:val="6BAE3435"/>
    <w:rsid w:val="6BBA5D35"/>
    <w:rsid w:val="6BC444BC"/>
    <w:rsid w:val="6BF27B5B"/>
    <w:rsid w:val="6BFA012A"/>
    <w:rsid w:val="6C0E01E1"/>
    <w:rsid w:val="6C214F51"/>
    <w:rsid w:val="6C2C1774"/>
    <w:rsid w:val="6C692464"/>
    <w:rsid w:val="6C8A50A5"/>
    <w:rsid w:val="6CB839EF"/>
    <w:rsid w:val="6CC14961"/>
    <w:rsid w:val="6CD07E05"/>
    <w:rsid w:val="6D045EC5"/>
    <w:rsid w:val="6D2C1507"/>
    <w:rsid w:val="6D3C186C"/>
    <w:rsid w:val="6D4948AB"/>
    <w:rsid w:val="6D4A5BC3"/>
    <w:rsid w:val="6D7C449A"/>
    <w:rsid w:val="6D8D2E91"/>
    <w:rsid w:val="6DB1683D"/>
    <w:rsid w:val="6DC742B3"/>
    <w:rsid w:val="6DD2120D"/>
    <w:rsid w:val="6E3B191A"/>
    <w:rsid w:val="6E694A8C"/>
    <w:rsid w:val="6E7E2EFE"/>
    <w:rsid w:val="6E8742EC"/>
    <w:rsid w:val="6EA44678"/>
    <w:rsid w:val="6EA72F42"/>
    <w:rsid w:val="6EB02F99"/>
    <w:rsid w:val="6EE249AD"/>
    <w:rsid w:val="6EE36113"/>
    <w:rsid w:val="6EF020B7"/>
    <w:rsid w:val="6F281730"/>
    <w:rsid w:val="6F32361F"/>
    <w:rsid w:val="6F387FFD"/>
    <w:rsid w:val="6F4846BD"/>
    <w:rsid w:val="6F51390C"/>
    <w:rsid w:val="6F536353"/>
    <w:rsid w:val="6F663188"/>
    <w:rsid w:val="6F6A0E5B"/>
    <w:rsid w:val="6F795A80"/>
    <w:rsid w:val="6FCA008A"/>
    <w:rsid w:val="6FE0384A"/>
    <w:rsid w:val="6FF21743"/>
    <w:rsid w:val="70011F3B"/>
    <w:rsid w:val="70131D74"/>
    <w:rsid w:val="705318FA"/>
    <w:rsid w:val="70537063"/>
    <w:rsid w:val="7059768F"/>
    <w:rsid w:val="7063110F"/>
    <w:rsid w:val="70762802"/>
    <w:rsid w:val="70790AE4"/>
    <w:rsid w:val="709D5B77"/>
    <w:rsid w:val="70C70595"/>
    <w:rsid w:val="7108467B"/>
    <w:rsid w:val="71131914"/>
    <w:rsid w:val="711710AD"/>
    <w:rsid w:val="712D72C7"/>
    <w:rsid w:val="71340B47"/>
    <w:rsid w:val="713B6A93"/>
    <w:rsid w:val="716C5782"/>
    <w:rsid w:val="717A4A01"/>
    <w:rsid w:val="718B55F7"/>
    <w:rsid w:val="71A83453"/>
    <w:rsid w:val="71AE39C2"/>
    <w:rsid w:val="71CB24F1"/>
    <w:rsid w:val="71D15B27"/>
    <w:rsid w:val="71DC52A8"/>
    <w:rsid w:val="71FB6844"/>
    <w:rsid w:val="71FC2954"/>
    <w:rsid w:val="72343C22"/>
    <w:rsid w:val="725D2E8E"/>
    <w:rsid w:val="726005C5"/>
    <w:rsid w:val="726C6BAB"/>
    <w:rsid w:val="72A21E04"/>
    <w:rsid w:val="72AC196D"/>
    <w:rsid w:val="72B017B9"/>
    <w:rsid w:val="72D85B9E"/>
    <w:rsid w:val="73076907"/>
    <w:rsid w:val="73106A6F"/>
    <w:rsid w:val="733B221F"/>
    <w:rsid w:val="733E405F"/>
    <w:rsid w:val="733F5207"/>
    <w:rsid w:val="735C11F3"/>
    <w:rsid w:val="73660AA2"/>
    <w:rsid w:val="737B15C0"/>
    <w:rsid w:val="73920485"/>
    <w:rsid w:val="73BA50BA"/>
    <w:rsid w:val="73C20D01"/>
    <w:rsid w:val="73C471BF"/>
    <w:rsid w:val="743D6384"/>
    <w:rsid w:val="745D14CD"/>
    <w:rsid w:val="74610AB6"/>
    <w:rsid w:val="747F4266"/>
    <w:rsid w:val="74865346"/>
    <w:rsid w:val="748B5502"/>
    <w:rsid w:val="748E2346"/>
    <w:rsid w:val="74B61E5D"/>
    <w:rsid w:val="74D92255"/>
    <w:rsid w:val="74DF4385"/>
    <w:rsid w:val="74EB6AD9"/>
    <w:rsid w:val="75134715"/>
    <w:rsid w:val="75273889"/>
    <w:rsid w:val="753D2C23"/>
    <w:rsid w:val="756D7C66"/>
    <w:rsid w:val="759224C6"/>
    <w:rsid w:val="75B34B73"/>
    <w:rsid w:val="75B97201"/>
    <w:rsid w:val="75D00158"/>
    <w:rsid w:val="75E40DBE"/>
    <w:rsid w:val="75EF52DA"/>
    <w:rsid w:val="762115A2"/>
    <w:rsid w:val="76222141"/>
    <w:rsid w:val="76396483"/>
    <w:rsid w:val="76554001"/>
    <w:rsid w:val="76A37955"/>
    <w:rsid w:val="76A85FD7"/>
    <w:rsid w:val="76B25A18"/>
    <w:rsid w:val="76BE1FA3"/>
    <w:rsid w:val="76D63420"/>
    <w:rsid w:val="76FA74A7"/>
    <w:rsid w:val="76FB6D7B"/>
    <w:rsid w:val="76FC1F87"/>
    <w:rsid w:val="7705525C"/>
    <w:rsid w:val="77097791"/>
    <w:rsid w:val="772223DF"/>
    <w:rsid w:val="772605C7"/>
    <w:rsid w:val="772A5A85"/>
    <w:rsid w:val="773C40D4"/>
    <w:rsid w:val="7747270C"/>
    <w:rsid w:val="775442DC"/>
    <w:rsid w:val="777E4743"/>
    <w:rsid w:val="77BA2F28"/>
    <w:rsid w:val="77CA7F8D"/>
    <w:rsid w:val="77CF673A"/>
    <w:rsid w:val="77D7171F"/>
    <w:rsid w:val="77E35E5A"/>
    <w:rsid w:val="77E77FA4"/>
    <w:rsid w:val="78037EDD"/>
    <w:rsid w:val="781E49CF"/>
    <w:rsid w:val="782B1418"/>
    <w:rsid w:val="782D3D8C"/>
    <w:rsid w:val="786E3C0D"/>
    <w:rsid w:val="786E40B7"/>
    <w:rsid w:val="786E6744"/>
    <w:rsid w:val="78775EAF"/>
    <w:rsid w:val="7884707B"/>
    <w:rsid w:val="7895673A"/>
    <w:rsid w:val="78CF04BF"/>
    <w:rsid w:val="78D06050"/>
    <w:rsid w:val="78D16192"/>
    <w:rsid w:val="78D53CE9"/>
    <w:rsid w:val="78DA3384"/>
    <w:rsid w:val="78E730C6"/>
    <w:rsid w:val="78E979A5"/>
    <w:rsid w:val="78F360F5"/>
    <w:rsid w:val="7912440C"/>
    <w:rsid w:val="7913612F"/>
    <w:rsid w:val="79222DD8"/>
    <w:rsid w:val="793B052B"/>
    <w:rsid w:val="79436EE6"/>
    <w:rsid w:val="794F202B"/>
    <w:rsid w:val="795F415F"/>
    <w:rsid w:val="79612481"/>
    <w:rsid w:val="79717309"/>
    <w:rsid w:val="798D2806"/>
    <w:rsid w:val="79A5159C"/>
    <w:rsid w:val="79BC175D"/>
    <w:rsid w:val="79E061B3"/>
    <w:rsid w:val="79E41B57"/>
    <w:rsid w:val="79FD0548"/>
    <w:rsid w:val="79FD29E2"/>
    <w:rsid w:val="7A2031CB"/>
    <w:rsid w:val="7A284148"/>
    <w:rsid w:val="7A556170"/>
    <w:rsid w:val="7A625356"/>
    <w:rsid w:val="7A7D6FAB"/>
    <w:rsid w:val="7AAF4C18"/>
    <w:rsid w:val="7AC946D9"/>
    <w:rsid w:val="7ACD43AE"/>
    <w:rsid w:val="7AD56761"/>
    <w:rsid w:val="7AE00EE0"/>
    <w:rsid w:val="7B111D10"/>
    <w:rsid w:val="7B251D94"/>
    <w:rsid w:val="7B334FEE"/>
    <w:rsid w:val="7B737E18"/>
    <w:rsid w:val="7BD276EB"/>
    <w:rsid w:val="7BD57325"/>
    <w:rsid w:val="7C124180"/>
    <w:rsid w:val="7C271E59"/>
    <w:rsid w:val="7C5413B2"/>
    <w:rsid w:val="7C7652FE"/>
    <w:rsid w:val="7C7D27D7"/>
    <w:rsid w:val="7C917C93"/>
    <w:rsid w:val="7C9B0D8A"/>
    <w:rsid w:val="7CAA19C1"/>
    <w:rsid w:val="7CCC223C"/>
    <w:rsid w:val="7D0E1072"/>
    <w:rsid w:val="7D102623"/>
    <w:rsid w:val="7D225963"/>
    <w:rsid w:val="7D244CBB"/>
    <w:rsid w:val="7D3C78EA"/>
    <w:rsid w:val="7D60018E"/>
    <w:rsid w:val="7D7D04EA"/>
    <w:rsid w:val="7DA535E7"/>
    <w:rsid w:val="7DC31BB8"/>
    <w:rsid w:val="7DC44B2D"/>
    <w:rsid w:val="7DD21407"/>
    <w:rsid w:val="7DE0561A"/>
    <w:rsid w:val="7E0A5A13"/>
    <w:rsid w:val="7E151854"/>
    <w:rsid w:val="7E2E32CB"/>
    <w:rsid w:val="7E3F6B55"/>
    <w:rsid w:val="7E6E3494"/>
    <w:rsid w:val="7E751B09"/>
    <w:rsid w:val="7E9959C7"/>
    <w:rsid w:val="7EAD7A72"/>
    <w:rsid w:val="7EFD6B7D"/>
    <w:rsid w:val="7F0876BA"/>
    <w:rsid w:val="7F111831"/>
    <w:rsid w:val="7F1E0473"/>
    <w:rsid w:val="7F262D78"/>
    <w:rsid w:val="7F460903"/>
    <w:rsid w:val="7F6E482F"/>
    <w:rsid w:val="7F7E1779"/>
    <w:rsid w:val="7F8A5397"/>
    <w:rsid w:val="7F8B4C02"/>
    <w:rsid w:val="7FC25D5F"/>
    <w:rsid w:val="7FC90538"/>
    <w:rsid w:val="7FD96B00"/>
    <w:rsid w:val="7FEE56CF"/>
    <w:rsid w:val="7FF22536"/>
    <w:rsid w:val="7FF41322"/>
    <w:rsid w:val="DF5DFF1A"/>
    <w:rsid w:val="DFD04C0F"/>
    <w:rsid w:val="FDCF0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0" w:semiHidden="0" w:name="toc 5"/>
    <w:lsdException w:uiPriority="0" w:name="toc 6"/>
    <w:lsdException w:uiPriority="0" w:name="toc 7"/>
    <w:lsdException w:uiPriority="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color w:val="000000"/>
      <w:sz w:val="21"/>
      <w:szCs w:val="22"/>
      <w:lang w:val="en-US" w:eastAsia="zh-CN" w:bidi="ar-SA"/>
    </w:rPr>
  </w:style>
  <w:style w:type="paragraph" w:styleId="4">
    <w:name w:val="heading 1"/>
    <w:basedOn w:val="1"/>
    <w:next w:val="1"/>
    <w:link w:val="84"/>
    <w:autoRedefine/>
    <w:qFormat/>
    <w:uiPriority w:val="0"/>
    <w:pPr>
      <w:keepNext/>
      <w:keepLines/>
      <w:spacing w:before="340" w:after="330"/>
      <w:jc w:val="center"/>
      <w:outlineLvl w:val="0"/>
    </w:pPr>
    <w:rPr>
      <w:rFonts w:ascii="Calibri" w:hAnsi="Calibri" w:cs="Times New Roman"/>
      <w:b/>
      <w:sz w:val="32"/>
      <w:szCs w:val="44"/>
    </w:rPr>
  </w:style>
  <w:style w:type="paragraph" w:styleId="5">
    <w:name w:val="heading 2"/>
    <w:basedOn w:val="1"/>
    <w:next w:val="1"/>
    <w:link w:val="78"/>
    <w:autoRedefine/>
    <w:qFormat/>
    <w:uiPriority w:val="0"/>
    <w:pPr>
      <w:keepNext/>
      <w:keepLines/>
      <w:spacing w:before="260" w:after="260"/>
      <w:jc w:val="center"/>
      <w:outlineLvl w:val="1"/>
    </w:pPr>
    <w:rPr>
      <w:rFonts w:ascii="Cambria" w:hAnsi="Cambria" w:cs="Times New Roman"/>
      <w:b/>
      <w:sz w:val="30"/>
      <w:szCs w:val="32"/>
    </w:rPr>
  </w:style>
  <w:style w:type="paragraph" w:styleId="6">
    <w:name w:val="heading 3"/>
    <w:basedOn w:val="1"/>
    <w:next w:val="1"/>
    <w:autoRedefine/>
    <w:qFormat/>
    <w:uiPriority w:val="0"/>
    <w:pPr>
      <w:keepNext/>
      <w:keepLines/>
      <w:spacing w:before="260" w:after="260" w:line="415" w:lineRule="auto"/>
      <w:outlineLvl w:val="2"/>
    </w:pPr>
    <w:rPr>
      <w:b/>
      <w:sz w:val="32"/>
      <w:szCs w:val="32"/>
    </w:rPr>
  </w:style>
  <w:style w:type="paragraph" w:styleId="7">
    <w:name w:val="heading 4"/>
    <w:basedOn w:val="1"/>
    <w:next w:val="1"/>
    <w:autoRedefine/>
    <w:qFormat/>
    <w:uiPriority w:val="0"/>
    <w:pPr>
      <w:keepNext/>
      <w:keepLines/>
      <w:spacing w:before="280" w:after="290" w:line="374" w:lineRule="auto"/>
      <w:outlineLvl w:val="3"/>
    </w:pPr>
    <w:rPr>
      <w:rFonts w:ascii="Cambria" w:hAnsi="Cambria"/>
      <w:b/>
      <w:sz w:val="28"/>
      <w:szCs w:val="28"/>
    </w:rPr>
  </w:style>
  <w:style w:type="paragraph" w:styleId="8">
    <w:name w:val="heading 7"/>
    <w:basedOn w:val="1"/>
    <w:next w:val="1"/>
    <w:autoRedefine/>
    <w:qFormat/>
    <w:uiPriority w:val="0"/>
    <w:pPr>
      <w:keepNext/>
      <w:keepLines/>
      <w:spacing w:before="240" w:after="64" w:line="319" w:lineRule="auto"/>
      <w:outlineLvl w:val="6"/>
    </w:pPr>
    <w:rPr>
      <w:b/>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5"/>
    <w:autoRedefine/>
    <w:qFormat/>
    <w:uiPriority w:val="0"/>
    <w:pPr>
      <w:spacing w:after="120"/>
    </w:pPr>
    <w:rPr>
      <w:rFonts w:cs="Times New Roman"/>
      <w:kern w:val="1"/>
    </w:rPr>
  </w:style>
  <w:style w:type="paragraph" w:styleId="3">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9">
    <w:name w:val="Normal Indent"/>
    <w:basedOn w:val="1"/>
    <w:link w:val="109"/>
    <w:autoRedefine/>
    <w:qFormat/>
    <w:uiPriority w:val="0"/>
    <w:pPr>
      <w:ind w:firstLine="200"/>
    </w:pPr>
    <w:rPr>
      <w:kern w:val="1"/>
      <w:lang w:val="zh-CN"/>
    </w:rPr>
  </w:style>
  <w:style w:type="paragraph" w:styleId="10">
    <w:name w:val="index 5"/>
    <w:basedOn w:val="1"/>
    <w:next w:val="1"/>
    <w:autoRedefine/>
    <w:unhideWhenUsed/>
    <w:qFormat/>
    <w:uiPriority w:val="99"/>
    <w:pPr>
      <w:ind w:left="1678"/>
    </w:pPr>
    <w:rPr>
      <w:rFonts w:hint="eastAsia" w:ascii="黑体" w:eastAsia="黑体"/>
    </w:rPr>
  </w:style>
  <w:style w:type="paragraph" w:styleId="11">
    <w:name w:val="Document Map"/>
    <w:basedOn w:val="1"/>
    <w:link w:val="81"/>
    <w:autoRedefine/>
    <w:qFormat/>
    <w:uiPriority w:val="0"/>
    <w:rPr>
      <w:rFonts w:ascii="宋体" w:cs="Times New Roman"/>
      <w:sz w:val="18"/>
      <w:szCs w:val="18"/>
    </w:rPr>
  </w:style>
  <w:style w:type="paragraph" w:styleId="12">
    <w:name w:val="annotation text"/>
    <w:basedOn w:val="1"/>
    <w:autoRedefine/>
    <w:qFormat/>
    <w:uiPriority w:val="0"/>
    <w:pPr>
      <w:jc w:val="left"/>
    </w:pPr>
    <w:rPr>
      <w:kern w:val="1"/>
    </w:rPr>
  </w:style>
  <w:style w:type="paragraph" w:styleId="13">
    <w:name w:val="Salutation"/>
    <w:basedOn w:val="1"/>
    <w:next w:val="1"/>
    <w:autoRedefine/>
    <w:qFormat/>
    <w:uiPriority w:val="0"/>
  </w:style>
  <w:style w:type="paragraph" w:styleId="14">
    <w:name w:val="Body Text Indent"/>
    <w:basedOn w:val="1"/>
    <w:link w:val="72"/>
    <w:autoRedefine/>
    <w:qFormat/>
    <w:uiPriority w:val="0"/>
    <w:pPr>
      <w:spacing w:after="120"/>
      <w:ind w:left="420" w:leftChars="200"/>
    </w:pPr>
    <w:rPr>
      <w:rFonts w:cs="Times New Roman"/>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0"/>
    <w:pPr>
      <w:ind w:left="840"/>
    </w:pPr>
    <w:rPr>
      <w:kern w:val="1"/>
    </w:rPr>
  </w:style>
  <w:style w:type="paragraph" w:styleId="17">
    <w:name w:val="Plain Text"/>
    <w:basedOn w:val="1"/>
    <w:autoRedefine/>
    <w:qFormat/>
    <w:uiPriority w:val="0"/>
    <w:pPr>
      <w:autoSpaceDE w:val="0"/>
      <w:autoSpaceDN w:val="0"/>
      <w:adjustRightInd w:val="0"/>
    </w:pPr>
    <w:rPr>
      <w:rFonts w:ascii="宋体" w:hAnsi="Courier New" w:cs="Courier New"/>
      <w:color w:val="auto"/>
      <w:kern w:val="2"/>
      <w:szCs w:val="21"/>
    </w:rPr>
  </w:style>
  <w:style w:type="paragraph" w:styleId="18">
    <w:name w:val="Body Text Indent 2"/>
    <w:basedOn w:val="1"/>
    <w:autoRedefine/>
    <w:qFormat/>
    <w:uiPriority w:val="0"/>
    <w:pPr>
      <w:spacing w:after="120" w:line="480" w:lineRule="auto"/>
      <w:ind w:left="420" w:leftChars="200"/>
    </w:pPr>
  </w:style>
  <w:style w:type="paragraph" w:styleId="19">
    <w:name w:val="Balloon Text"/>
    <w:basedOn w:val="1"/>
    <w:autoRedefine/>
    <w:qFormat/>
    <w:uiPriority w:val="0"/>
    <w:rPr>
      <w:kern w:val="1"/>
      <w:sz w:val="18"/>
      <w:szCs w:val="18"/>
    </w:rPr>
  </w:style>
  <w:style w:type="paragraph" w:styleId="20">
    <w:name w:val="footer"/>
    <w:basedOn w:val="1"/>
    <w:link w:val="85"/>
    <w:autoRedefine/>
    <w:qFormat/>
    <w:uiPriority w:val="99"/>
    <w:pPr>
      <w:tabs>
        <w:tab w:val="center" w:pos="4153"/>
        <w:tab w:val="right" w:pos="8305"/>
      </w:tabs>
      <w:jc w:val="left"/>
    </w:pPr>
    <w:rPr>
      <w:rFonts w:ascii="Calibri" w:hAnsi="Calibri" w:cs="Times New Roman"/>
      <w:kern w:val="1"/>
      <w:sz w:val="18"/>
      <w:szCs w:val="18"/>
    </w:rPr>
  </w:style>
  <w:style w:type="paragraph" w:styleId="21">
    <w:name w:val="header"/>
    <w:basedOn w:val="1"/>
    <w:next w:val="2"/>
    <w:link w:val="74"/>
    <w:autoRedefine/>
    <w:qFormat/>
    <w:uiPriority w:val="99"/>
    <w:pPr>
      <w:pBdr>
        <w:bottom w:val="single" w:color="000000" w:sz="6" w:space="1"/>
      </w:pBdr>
      <w:tabs>
        <w:tab w:val="center" w:pos="4153"/>
        <w:tab w:val="right" w:pos="8305"/>
      </w:tabs>
      <w:jc w:val="center"/>
    </w:pPr>
    <w:rPr>
      <w:rFonts w:ascii="Calibri" w:hAnsi="Calibri" w:cs="Times New Roman"/>
      <w:kern w:val="1"/>
      <w:sz w:val="18"/>
      <w:szCs w:val="18"/>
    </w:rPr>
  </w:style>
  <w:style w:type="paragraph" w:styleId="22">
    <w:name w:val="toc 1"/>
    <w:basedOn w:val="1"/>
    <w:next w:val="1"/>
    <w:autoRedefine/>
    <w:qFormat/>
    <w:uiPriority w:val="39"/>
    <w:rPr>
      <w:kern w:val="1"/>
    </w:rPr>
  </w:style>
  <w:style w:type="paragraph" w:styleId="23">
    <w:name w:val="toc 4"/>
    <w:basedOn w:val="1"/>
    <w:next w:val="1"/>
    <w:autoRedefine/>
    <w:qFormat/>
    <w:uiPriority w:val="39"/>
    <w:pPr>
      <w:ind w:left="1260" w:leftChars="600"/>
    </w:pPr>
  </w:style>
  <w:style w:type="paragraph" w:styleId="24">
    <w:name w:val="table of figures"/>
    <w:basedOn w:val="1"/>
    <w:next w:val="1"/>
    <w:autoRedefine/>
    <w:qFormat/>
    <w:uiPriority w:val="0"/>
    <w:pPr>
      <w:ind w:left="400" w:leftChars="200" w:hanging="200" w:hangingChars="200"/>
    </w:pPr>
  </w:style>
  <w:style w:type="paragraph" w:styleId="25">
    <w:name w:val="toc 2"/>
    <w:basedOn w:val="1"/>
    <w:next w:val="1"/>
    <w:autoRedefine/>
    <w:qFormat/>
    <w:uiPriority w:val="39"/>
    <w:pPr>
      <w:ind w:left="420"/>
    </w:pPr>
    <w:rPr>
      <w:kern w:val="1"/>
    </w:rPr>
  </w:style>
  <w:style w:type="paragraph" w:styleId="26">
    <w:name w:val="toc 9"/>
    <w:basedOn w:val="1"/>
    <w:next w:val="1"/>
    <w:autoRedefine/>
    <w:unhideWhenUsed/>
    <w:qFormat/>
    <w:uiPriority w:val="39"/>
    <w:pPr>
      <w:ind w:left="3360" w:leftChars="1600"/>
    </w:pPr>
  </w:style>
  <w:style w:type="paragraph" w:styleId="27">
    <w:name w:val="Body Text 2"/>
    <w:basedOn w:val="1"/>
    <w:link w:val="107"/>
    <w:autoRedefine/>
    <w:qFormat/>
    <w:uiPriority w:val="0"/>
    <w:pPr>
      <w:spacing w:after="120" w:line="480" w:lineRule="auto"/>
    </w:pPr>
  </w:style>
  <w:style w:type="paragraph" w:styleId="28">
    <w:name w:val="Message Header"/>
    <w:autoRedefine/>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Arial"/>
      <w:kern w:val="2"/>
      <w:sz w:val="24"/>
      <w:szCs w:val="24"/>
      <w:lang w:val="en-US" w:eastAsia="zh-CN" w:bidi="ar-SA"/>
    </w:rPr>
  </w:style>
  <w:style w:type="paragraph" w:styleId="29">
    <w:name w:val="HTML Preformatted"/>
    <w:basedOn w:val="1"/>
    <w:link w:val="86"/>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color w:val="auto"/>
      <w:sz w:val="24"/>
      <w:szCs w:val="24"/>
    </w:rPr>
  </w:style>
  <w:style w:type="paragraph" w:styleId="30">
    <w:name w:val="Normal (Web)"/>
    <w:basedOn w:val="1"/>
    <w:autoRedefine/>
    <w:qFormat/>
    <w:uiPriority w:val="99"/>
    <w:pPr>
      <w:widowControl/>
      <w:spacing w:before="100" w:beforeAutospacing="1" w:after="100" w:afterAutospacing="1"/>
      <w:jc w:val="left"/>
    </w:pPr>
    <w:rPr>
      <w:rFonts w:ascii="宋体" w:cs="Times New Roman"/>
      <w:sz w:val="18"/>
      <w:szCs w:val="18"/>
    </w:rPr>
  </w:style>
  <w:style w:type="paragraph" w:styleId="31">
    <w:name w:val="Title"/>
    <w:basedOn w:val="1"/>
    <w:next w:val="1"/>
    <w:autoRedefine/>
    <w:qFormat/>
    <w:uiPriority w:val="0"/>
    <w:pPr>
      <w:spacing w:before="240" w:after="60"/>
      <w:jc w:val="center"/>
      <w:outlineLvl w:val="0"/>
    </w:pPr>
    <w:rPr>
      <w:rFonts w:ascii="等线 Light" w:hAnsi="等线 Light" w:cs="Times New Roman"/>
      <w:b/>
      <w:kern w:val="1"/>
      <w:sz w:val="32"/>
      <w:szCs w:val="32"/>
    </w:rPr>
  </w:style>
  <w:style w:type="paragraph" w:styleId="32">
    <w:name w:val="annotation subject"/>
    <w:basedOn w:val="12"/>
    <w:next w:val="12"/>
    <w:autoRedefine/>
    <w:qFormat/>
    <w:uiPriority w:val="0"/>
    <w:rPr>
      <w:b/>
    </w:rPr>
  </w:style>
  <w:style w:type="paragraph" w:styleId="33">
    <w:name w:val="Body Text First Indent"/>
    <w:basedOn w:val="2"/>
    <w:autoRedefine/>
    <w:qFormat/>
    <w:uiPriority w:val="0"/>
    <w:pPr>
      <w:ind w:firstLine="420" w:firstLineChars="10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99"/>
    <w:rPr>
      <w:b/>
      <w:bCs/>
    </w:rPr>
  </w:style>
  <w:style w:type="character" w:styleId="38">
    <w:name w:val="FollowedHyperlink"/>
    <w:basedOn w:val="36"/>
    <w:autoRedefine/>
    <w:qFormat/>
    <w:uiPriority w:val="0"/>
    <w:rPr>
      <w:color w:val="3D3D3D"/>
      <w:u w:val="none"/>
    </w:rPr>
  </w:style>
  <w:style w:type="character" w:styleId="39">
    <w:name w:val="Emphasis"/>
    <w:autoRedefine/>
    <w:qFormat/>
    <w:uiPriority w:val="0"/>
    <w:rPr>
      <w:i/>
    </w:rPr>
  </w:style>
  <w:style w:type="character" w:styleId="40">
    <w:name w:val="HTML Definition"/>
    <w:basedOn w:val="36"/>
    <w:autoRedefine/>
    <w:qFormat/>
    <w:uiPriority w:val="0"/>
  </w:style>
  <w:style w:type="character" w:styleId="41">
    <w:name w:val="HTML Variable"/>
    <w:basedOn w:val="36"/>
    <w:autoRedefine/>
    <w:qFormat/>
    <w:uiPriority w:val="0"/>
  </w:style>
  <w:style w:type="character" w:styleId="42">
    <w:name w:val="Hyperlink"/>
    <w:autoRedefine/>
    <w:qFormat/>
    <w:uiPriority w:val="0"/>
    <w:rPr>
      <w:color w:val="0000FF"/>
      <w:u w:val="single"/>
    </w:rPr>
  </w:style>
  <w:style w:type="character" w:styleId="43">
    <w:name w:val="HTML Code"/>
    <w:basedOn w:val="36"/>
    <w:autoRedefine/>
    <w:qFormat/>
    <w:uiPriority w:val="0"/>
    <w:rPr>
      <w:rFonts w:ascii="Courier New" w:hAnsi="Courier New"/>
      <w:sz w:val="20"/>
    </w:rPr>
  </w:style>
  <w:style w:type="character" w:styleId="44">
    <w:name w:val="annotation reference"/>
    <w:autoRedefine/>
    <w:qFormat/>
    <w:uiPriority w:val="0"/>
    <w:rPr>
      <w:sz w:val="21"/>
      <w:szCs w:val="21"/>
    </w:rPr>
  </w:style>
  <w:style w:type="character" w:styleId="45">
    <w:name w:val="HTML Cite"/>
    <w:basedOn w:val="36"/>
    <w:autoRedefine/>
    <w:qFormat/>
    <w:uiPriority w:val="0"/>
  </w:style>
  <w:style w:type="paragraph" w:customStyle="1" w:styleId="46">
    <w:name w:val="标题 5（有编号）（绿盟科技）"/>
    <w:basedOn w:val="47"/>
    <w:next w:val="48"/>
    <w:autoRedefine/>
    <w:qFormat/>
    <w:uiPriority w:val="0"/>
    <w:pPr>
      <w:keepNext/>
      <w:keepLines/>
      <w:spacing w:before="280" w:after="156" w:line="377" w:lineRule="auto"/>
      <w:outlineLvl w:val="4"/>
    </w:pPr>
    <w:rPr>
      <w:rFonts w:ascii="Arial" w:hAnsi="Arial" w:eastAsia="黑体"/>
      <w:b/>
      <w:sz w:val="24"/>
      <w:szCs w:val="28"/>
    </w:rPr>
  </w:style>
  <w:style w:type="paragraph" w:customStyle="1" w:styleId="47">
    <w:name w:val="正文1"/>
    <w:basedOn w:val="1"/>
    <w:autoRedefine/>
    <w:qFormat/>
    <w:uiPriority w:val="0"/>
    <w:pPr>
      <w:spacing w:before="120" w:after="120" w:line="360" w:lineRule="auto"/>
    </w:pPr>
    <w:rPr>
      <w:szCs w:val="20"/>
    </w:rPr>
  </w:style>
  <w:style w:type="paragraph" w:customStyle="1" w:styleId="4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9">
    <w:name w:val="文本"/>
    <w:basedOn w:val="1"/>
    <w:autoRedefine/>
    <w:qFormat/>
    <w:uiPriority w:val="0"/>
    <w:pPr>
      <w:widowControl/>
      <w:tabs>
        <w:tab w:val="left" w:pos="0"/>
      </w:tabs>
      <w:ind w:firstLine="720"/>
    </w:pPr>
    <w:rPr>
      <w:rFonts w:cs="宋体"/>
    </w:rPr>
  </w:style>
  <w:style w:type="paragraph" w:customStyle="1" w:styleId="50">
    <w:name w:val="引用1"/>
    <w:basedOn w:val="1"/>
    <w:next w:val="1"/>
    <w:autoRedefine/>
    <w:qFormat/>
    <w:uiPriority w:val="0"/>
    <w:pPr>
      <w:widowControl/>
      <w:numPr>
        <w:ilvl w:val="0"/>
        <w:numId w:val="1"/>
      </w:numPr>
      <w:spacing w:after="200" w:line="276" w:lineRule="auto"/>
      <w:ind w:left="0" w:firstLine="0"/>
      <w:jc w:val="left"/>
    </w:pPr>
    <w:rPr>
      <w:rFonts w:ascii="Calibri" w:hAnsi="Calibri"/>
      <w:i/>
      <w:iCs/>
      <w:sz w:val="22"/>
      <w:lang w:eastAsia="en-US" w:bidi="en-US"/>
    </w:rPr>
  </w:style>
  <w:style w:type="character" w:customStyle="1" w:styleId="51">
    <w:name w:val="标题 1 Char"/>
    <w:autoRedefine/>
    <w:qFormat/>
    <w:uiPriority w:val="0"/>
    <w:rPr>
      <w:rFonts w:ascii="Calibri" w:hAnsi="Calibri" w:eastAsia="宋体" w:cs="Times New Roman"/>
      <w:b/>
      <w:kern w:val="0"/>
      <w:sz w:val="32"/>
      <w:szCs w:val="44"/>
    </w:rPr>
  </w:style>
  <w:style w:type="paragraph" w:customStyle="1" w:styleId="52">
    <w:name w:val="列出段落1"/>
    <w:basedOn w:val="1"/>
    <w:link w:val="89"/>
    <w:autoRedefine/>
    <w:qFormat/>
    <w:uiPriority w:val="0"/>
    <w:pPr>
      <w:ind w:firstLine="420"/>
    </w:pPr>
    <w:rPr>
      <w:rFonts w:cs="Times New Roman"/>
      <w:kern w:val="1"/>
    </w:rPr>
  </w:style>
  <w:style w:type="paragraph" w:customStyle="1" w:styleId="53">
    <w:name w:val="列出段落2"/>
    <w:basedOn w:val="1"/>
    <w:autoRedefine/>
    <w:qFormat/>
    <w:uiPriority w:val="99"/>
    <w:pPr>
      <w:ind w:firstLine="420" w:firstLineChars="200"/>
    </w:pPr>
    <w:rPr>
      <w:rFonts w:cs="Times New Roman"/>
      <w:color w:val="auto"/>
      <w:kern w:val="2"/>
      <w:szCs w:val="24"/>
    </w:rPr>
  </w:style>
  <w:style w:type="paragraph" w:customStyle="1" w:styleId="54">
    <w:name w:val="正文首行缩进两字符"/>
    <w:basedOn w:val="1"/>
    <w:autoRedefine/>
    <w:qFormat/>
    <w:uiPriority w:val="0"/>
    <w:pPr>
      <w:spacing w:line="360" w:lineRule="auto"/>
      <w:ind w:firstLine="200" w:firstLineChars="200"/>
    </w:pPr>
    <w:rPr>
      <w:rFonts w:ascii="Calibri" w:hAnsi="Calibri"/>
    </w:rPr>
  </w:style>
  <w:style w:type="paragraph" w:customStyle="1" w:styleId="55">
    <w:name w:val="List Paragraph1"/>
    <w:basedOn w:val="1"/>
    <w:autoRedefine/>
    <w:qFormat/>
    <w:uiPriority w:val="0"/>
    <w:pPr>
      <w:ind w:firstLine="420" w:firstLineChars="200"/>
    </w:pPr>
    <w:rPr>
      <w:rFonts w:cs="Times New Roman"/>
      <w:color w:val="auto"/>
      <w:kern w:val="2"/>
    </w:rPr>
  </w:style>
  <w:style w:type="paragraph" w:customStyle="1" w:styleId="56">
    <w:name w:val="13、表格内居中正文"/>
    <w:basedOn w:val="1"/>
    <w:autoRedefine/>
    <w:qFormat/>
    <w:uiPriority w:val="0"/>
    <w:pPr>
      <w:tabs>
        <w:tab w:val="left" w:pos="0"/>
      </w:tabs>
      <w:wordWrap w:val="0"/>
      <w:topLinePunct/>
      <w:spacing w:line="360" w:lineRule="exact"/>
      <w:jc w:val="center"/>
    </w:pPr>
    <w:rPr>
      <w:rFonts w:ascii="宋体" w:hAnsi="宋体" w:cs="Times New Roman"/>
      <w:color w:val="auto"/>
      <w:kern w:val="2"/>
      <w:szCs w:val="24"/>
    </w:rPr>
  </w:style>
  <w:style w:type="paragraph" w:customStyle="1" w:styleId="57">
    <w:name w:val="样式 首行缩进:  2 字符"/>
    <w:basedOn w:val="1"/>
    <w:autoRedefine/>
    <w:qFormat/>
    <w:uiPriority w:val="0"/>
    <w:pPr>
      <w:spacing w:line="400" w:lineRule="exact"/>
      <w:ind w:firstLine="200"/>
    </w:pPr>
    <w:rPr>
      <w:rFonts w:cs="宋体"/>
      <w:kern w:val="1"/>
      <w:sz w:val="24"/>
    </w:rPr>
  </w:style>
  <w:style w:type="paragraph" w:customStyle="1" w:styleId="5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01、普通正文"/>
    <w:basedOn w:val="1"/>
    <w:autoRedefine/>
    <w:qFormat/>
    <w:uiPriority w:val="0"/>
    <w:pPr>
      <w:tabs>
        <w:tab w:val="left" w:pos="0"/>
      </w:tabs>
      <w:wordWrap w:val="0"/>
      <w:topLinePunct/>
    </w:pPr>
    <w:rPr>
      <w:rFonts w:ascii="宋体" w:hAnsi="宋体" w:cs="Times New Roman"/>
      <w:snapToGrid w:val="0"/>
      <w:color w:val="auto"/>
      <w:kern w:val="2"/>
      <w:szCs w:val="24"/>
    </w:rPr>
  </w:style>
  <w:style w:type="paragraph" w:customStyle="1" w:styleId="60">
    <w:name w:val="_Style 4"/>
    <w:basedOn w:val="1"/>
    <w:autoRedefine/>
    <w:qFormat/>
    <w:uiPriority w:val="0"/>
    <w:pPr>
      <w:spacing w:line="360" w:lineRule="auto"/>
    </w:pPr>
    <w:rPr>
      <w:rFonts w:cs="Times New Roman"/>
      <w:sz w:val="24"/>
      <w:szCs w:val="20"/>
    </w:rPr>
  </w:style>
  <w:style w:type="paragraph" w:customStyle="1" w:styleId="61">
    <w:name w:val="TOC 标题1"/>
    <w:basedOn w:val="4"/>
    <w:next w:val="1"/>
    <w:autoRedefine/>
    <w:qFormat/>
    <w:uiPriority w:val="0"/>
    <w:pPr>
      <w:widowControl/>
      <w:spacing w:before="480" w:after="0" w:line="276" w:lineRule="auto"/>
      <w:jc w:val="left"/>
      <w:outlineLvl w:val="9"/>
    </w:pPr>
    <w:rPr>
      <w:rFonts w:ascii="Cambria" w:hAnsi="Cambria"/>
      <w:color w:val="365F91"/>
      <w:sz w:val="28"/>
      <w:szCs w:val="28"/>
    </w:rPr>
  </w:style>
  <w:style w:type="paragraph" w:customStyle="1" w:styleId="62">
    <w:name w:val="TOC 标题11"/>
    <w:basedOn w:val="4"/>
    <w:next w:val="1"/>
    <w:autoRedefine/>
    <w:qFormat/>
    <w:uiPriority w:val="0"/>
    <w:pPr>
      <w:widowControl/>
      <w:spacing w:before="480" w:after="0" w:line="276" w:lineRule="auto"/>
      <w:jc w:val="left"/>
      <w:outlineLvl w:val="9"/>
    </w:pPr>
    <w:rPr>
      <w:rFonts w:ascii="Cambria" w:hAnsi="Cambria"/>
      <w:color w:val="365F91"/>
      <w:sz w:val="28"/>
      <w:szCs w:val="28"/>
    </w:rPr>
  </w:style>
  <w:style w:type="paragraph" w:customStyle="1" w:styleId="63">
    <w:name w:val="_Style 10"/>
    <w:basedOn w:val="11"/>
    <w:autoRedefine/>
    <w:qFormat/>
    <w:uiPriority w:val="0"/>
    <w:pPr>
      <w:shd w:val="clear" w:color="auto" w:fill="000080"/>
      <w:adjustRightInd w:val="0"/>
      <w:snapToGrid w:val="0"/>
      <w:spacing w:line="360" w:lineRule="auto"/>
    </w:pPr>
    <w:rPr>
      <w:rFonts w:ascii="仿宋_GB2312" w:eastAsia="仿宋_GB2312"/>
      <w:color w:val="auto"/>
      <w:kern w:val="2"/>
      <w:sz w:val="24"/>
      <w:szCs w:val="24"/>
    </w:rPr>
  </w:style>
  <w:style w:type="paragraph" w:customStyle="1" w:styleId="64">
    <w:name w:val="正文 New New"/>
    <w:autoRedefine/>
    <w:qFormat/>
    <w:uiPriority w:val="0"/>
    <w:pPr>
      <w:widowControl w:val="0"/>
      <w:spacing w:after="160" w:line="257" w:lineRule="auto"/>
      <w:jc w:val="both"/>
    </w:pPr>
    <w:rPr>
      <w:rFonts w:ascii="Times New Roman" w:hAnsi="Times New Roman" w:eastAsia="宋体" w:cs="Calibri"/>
      <w:color w:val="000000"/>
      <w:kern w:val="1"/>
      <w:sz w:val="21"/>
      <w:szCs w:val="22"/>
      <w:lang w:val="en-US" w:eastAsia="zh-CN" w:bidi="ar-SA"/>
    </w:rPr>
  </w:style>
  <w:style w:type="paragraph" w:customStyle="1" w:styleId="65">
    <w:name w:val="正文 A"/>
    <w:next w:val="66"/>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6">
    <w:name w:val="标题 21"/>
    <w:next w:val="67"/>
    <w:autoRedefine/>
    <w:qFormat/>
    <w:uiPriority w:val="0"/>
    <w:pPr>
      <w:keepNext/>
      <w:keepLines/>
      <w:widowControl w:val="0"/>
      <w:tabs>
        <w:tab w:val="left" w:pos="3828"/>
      </w:tabs>
      <w:spacing w:before="260" w:after="260" w:line="415" w:lineRule="auto"/>
      <w:jc w:val="both"/>
      <w:outlineLvl w:val="1"/>
    </w:pPr>
    <w:rPr>
      <w:rFonts w:ascii="宋体" w:hAnsi="宋体" w:eastAsia="宋体" w:cs="宋体"/>
      <w:b/>
      <w:bCs/>
      <w:color w:val="000000"/>
      <w:kern w:val="2"/>
      <w:sz w:val="28"/>
      <w:szCs w:val="28"/>
      <w:u w:color="000000"/>
      <w:lang w:val="en-US" w:eastAsia="zh-CN" w:bidi="ar-SA"/>
    </w:rPr>
  </w:style>
  <w:style w:type="paragraph" w:customStyle="1" w:styleId="67">
    <w:name w:val="正文 A A"/>
    <w:next w:val="66"/>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8">
    <w:name w:val="列出段落21"/>
    <w:basedOn w:val="1"/>
    <w:autoRedefine/>
    <w:qFormat/>
    <w:uiPriority w:val="0"/>
    <w:pPr>
      <w:ind w:firstLine="420"/>
    </w:pPr>
    <w:rPr>
      <w:kern w:val="1"/>
    </w:rPr>
  </w:style>
  <w:style w:type="paragraph" w:customStyle="1" w:styleId="69">
    <w:name w:val="图例"/>
    <w:basedOn w:val="1"/>
    <w:autoRedefine/>
    <w:qFormat/>
    <w:uiPriority w:val="0"/>
    <w:pPr>
      <w:spacing w:before="120" w:after="120" w:line="360" w:lineRule="auto"/>
      <w:jc w:val="center"/>
    </w:pPr>
    <w:rPr>
      <w:rFonts w:eastAsia="仿宋" w:cs="Times New Roman"/>
      <w:b/>
      <w:kern w:val="1"/>
      <w:sz w:val="24"/>
    </w:rPr>
  </w:style>
  <w:style w:type="paragraph" w:customStyle="1" w:styleId="70">
    <w:name w:val="Default"/>
    <w:next w:val="1"/>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71">
    <w:name w:val="Table Paragraph"/>
    <w:basedOn w:val="1"/>
    <w:autoRedefine/>
    <w:qFormat/>
    <w:uiPriority w:val="1"/>
    <w:pPr>
      <w:jc w:val="left"/>
    </w:pPr>
    <w:rPr>
      <w:sz w:val="22"/>
      <w:lang w:eastAsia="en-US"/>
    </w:rPr>
  </w:style>
  <w:style w:type="character" w:customStyle="1" w:styleId="72">
    <w:name w:val="正文文本缩进 字符"/>
    <w:link w:val="14"/>
    <w:autoRedefine/>
    <w:qFormat/>
    <w:uiPriority w:val="0"/>
    <w:rPr>
      <w:rFonts w:cs="Calibri"/>
      <w:color w:val="000000"/>
      <w:sz w:val="21"/>
      <w:szCs w:val="22"/>
    </w:rPr>
  </w:style>
  <w:style w:type="character" w:customStyle="1" w:styleId="73">
    <w:name w:val="标题 7 Char"/>
    <w:autoRedefine/>
    <w:qFormat/>
    <w:uiPriority w:val="0"/>
    <w:rPr>
      <w:b/>
      <w:sz w:val="24"/>
      <w:szCs w:val="24"/>
    </w:rPr>
  </w:style>
  <w:style w:type="character" w:customStyle="1" w:styleId="74">
    <w:name w:val="页眉 字符"/>
    <w:link w:val="21"/>
    <w:autoRedefine/>
    <w:qFormat/>
    <w:uiPriority w:val="99"/>
    <w:rPr>
      <w:rFonts w:ascii="Calibri" w:hAnsi="Calibri" w:cs="Calibri"/>
      <w:color w:val="000000"/>
      <w:kern w:val="1"/>
      <w:sz w:val="18"/>
      <w:szCs w:val="18"/>
    </w:rPr>
  </w:style>
  <w:style w:type="character" w:customStyle="1" w:styleId="75">
    <w:name w:val="正文文本 字符"/>
    <w:link w:val="2"/>
    <w:autoRedefine/>
    <w:qFormat/>
    <w:uiPriority w:val="0"/>
    <w:rPr>
      <w:rFonts w:cs="Calibri"/>
      <w:color w:val="000000"/>
      <w:kern w:val="1"/>
      <w:sz w:val="21"/>
      <w:szCs w:val="22"/>
    </w:rPr>
  </w:style>
  <w:style w:type="character" w:customStyle="1" w:styleId="76">
    <w:name w:val="标题 2 Char"/>
    <w:autoRedefine/>
    <w:qFormat/>
    <w:uiPriority w:val="0"/>
    <w:rPr>
      <w:rFonts w:ascii="Cambria" w:hAnsi="Cambria" w:eastAsia="宋体" w:cs="Times New Roman"/>
      <w:b/>
      <w:sz w:val="30"/>
      <w:szCs w:val="32"/>
    </w:rPr>
  </w:style>
  <w:style w:type="character" w:customStyle="1" w:styleId="77">
    <w:name w:val="批注主题 Char"/>
    <w:autoRedefine/>
    <w:qFormat/>
    <w:uiPriority w:val="0"/>
    <w:rPr>
      <w:rFonts w:ascii="Calibri" w:hAnsi="Calibri" w:eastAsia="宋体" w:cs="Times New Roman"/>
      <w:b/>
      <w:kern w:val="1"/>
      <w:sz w:val="21"/>
      <w:szCs w:val="22"/>
    </w:rPr>
  </w:style>
  <w:style w:type="character" w:customStyle="1" w:styleId="78">
    <w:name w:val="标题 2 字符"/>
    <w:link w:val="5"/>
    <w:autoRedefine/>
    <w:qFormat/>
    <w:uiPriority w:val="0"/>
    <w:rPr>
      <w:rFonts w:ascii="Cambria" w:hAnsi="Cambria" w:cs="Calibri"/>
      <w:b/>
      <w:color w:val="000000"/>
      <w:sz w:val="30"/>
      <w:szCs w:val="32"/>
    </w:rPr>
  </w:style>
  <w:style w:type="character" w:customStyle="1" w:styleId="79">
    <w:name w:val="批注框文本 Char"/>
    <w:autoRedefine/>
    <w:qFormat/>
    <w:uiPriority w:val="0"/>
    <w:rPr>
      <w:sz w:val="18"/>
      <w:szCs w:val="18"/>
    </w:rPr>
  </w:style>
  <w:style w:type="character" w:customStyle="1" w:styleId="80">
    <w:name w:val="标题 4 Char"/>
    <w:autoRedefine/>
    <w:qFormat/>
    <w:uiPriority w:val="0"/>
    <w:rPr>
      <w:rFonts w:ascii="Cambria" w:hAnsi="Cambria" w:eastAsia="宋体" w:cs="Times New Roman"/>
      <w:b/>
      <w:kern w:val="1"/>
      <w:sz w:val="28"/>
      <w:szCs w:val="28"/>
    </w:rPr>
  </w:style>
  <w:style w:type="character" w:customStyle="1" w:styleId="81">
    <w:name w:val="文档结构图 字符"/>
    <w:link w:val="11"/>
    <w:autoRedefine/>
    <w:qFormat/>
    <w:uiPriority w:val="0"/>
    <w:rPr>
      <w:rFonts w:ascii="宋体" w:cs="Calibri"/>
      <w:color w:val="000000"/>
      <w:sz w:val="18"/>
      <w:szCs w:val="18"/>
    </w:rPr>
  </w:style>
  <w:style w:type="character" w:customStyle="1" w:styleId="82">
    <w:name w:val="标题 3 Char"/>
    <w:autoRedefine/>
    <w:qFormat/>
    <w:uiPriority w:val="0"/>
    <w:rPr>
      <w:b/>
      <w:sz w:val="32"/>
      <w:szCs w:val="32"/>
    </w:rPr>
  </w:style>
  <w:style w:type="character" w:customStyle="1" w:styleId="83">
    <w:name w:val="页脚 Char"/>
    <w:autoRedefine/>
    <w:qFormat/>
    <w:uiPriority w:val="0"/>
    <w:rPr>
      <w:sz w:val="18"/>
      <w:szCs w:val="18"/>
    </w:rPr>
  </w:style>
  <w:style w:type="character" w:customStyle="1" w:styleId="84">
    <w:name w:val="标题 1 字符"/>
    <w:link w:val="4"/>
    <w:autoRedefine/>
    <w:qFormat/>
    <w:uiPriority w:val="0"/>
    <w:rPr>
      <w:rFonts w:ascii="Calibri" w:hAnsi="Calibri" w:cs="Calibri"/>
      <w:b/>
      <w:color w:val="000000"/>
      <w:sz w:val="32"/>
      <w:szCs w:val="44"/>
    </w:rPr>
  </w:style>
  <w:style w:type="character" w:customStyle="1" w:styleId="85">
    <w:name w:val="页脚 字符"/>
    <w:link w:val="20"/>
    <w:autoRedefine/>
    <w:qFormat/>
    <w:uiPriority w:val="99"/>
    <w:rPr>
      <w:rFonts w:ascii="Calibri" w:hAnsi="Calibri" w:cs="Calibri"/>
      <w:color w:val="000000"/>
      <w:kern w:val="1"/>
      <w:sz w:val="18"/>
      <w:szCs w:val="18"/>
    </w:rPr>
  </w:style>
  <w:style w:type="character" w:customStyle="1" w:styleId="86">
    <w:name w:val="HTML 预设格式 字符"/>
    <w:link w:val="29"/>
    <w:autoRedefine/>
    <w:qFormat/>
    <w:uiPriority w:val="0"/>
    <w:rPr>
      <w:rFonts w:ascii="宋体" w:hAnsi="宋体"/>
      <w:sz w:val="24"/>
      <w:szCs w:val="24"/>
    </w:rPr>
  </w:style>
  <w:style w:type="character" w:customStyle="1" w:styleId="87">
    <w:name w:val="标题 Char1"/>
    <w:autoRedefine/>
    <w:qFormat/>
    <w:uiPriority w:val="0"/>
    <w:rPr>
      <w:rFonts w:ascii="Cambria" w:hAnsi="Cambria" w:eastAsia="宋体" w:cs="Times New Roman"/>
      <w:b/>
      <w:sz w:val="32"/>
      <w:szCs w:val="32"/>
    </w:rPr>
  </w:style>
  <w:style w:type="character" w:customStyle="1" w:styleId="88">
    <w:name w:val="页眉 Char"/>
    <w:autoRedefine/>
    <w:qFormat/>
    <w:uiPriority w:val="0"/>
    <w:rPr>
      <w:sz w:val="18"/>
      <w:szCs w:val="18"/>
    </w:rPr>
  </w:style>
  <w:style w:type="character" w:customStyle="1" w:styleId="89">
    <w:name w:val="列出段落 字符"/>
    <w:link w:val="52"/>
    <w:autoRedefine/>
    <w:qFormat/>
    <w:uiPriority w:val="0"/>
    <w:rPr>
      <w:rFonts w:cs="Calibri"/>
      <w:color w:val="000000"/>
      <w:kern w:val="1"/>
      <w:sz w:val="21"/>
      <w:szCs w:val="22"/>
    </w:rPr>
  </w:style>
  <w:style w:type="character" w:customStyle="1" w:styleId="90">
    <w:name w:val="标题 Char"/>
    <w:autoRedefine/>
    <w:qFormat/>
    <w:uiPriority w:val="0"/>
    <w:rPr>
      <w:rFonts w:ascii="等线 Light" w:hAnsi="等线 Light" w:cs="Times New Roman"/>
      <w:b/>
      <w:sz w:val="32"/>
      <w:szCs w:val="32"/>
    </w:rPr>
  </w:style>
  <w:style w:type="character" w:customStyle="1" w:styleId="91">
    <w:name w:val="批注文字 Char"/>
    <w:autoRedefine/>
    <w:qFormat/>
    <w:uiPriority w:val="0"/>
    <w:rPr>
      <w:rFonts w:ascii="Calibri" w:hAnsi="Calibri" w:eastAsia="宋体" w:cs="Times New Roman"/>
      <w:kern w:val="1"/>
      <w:sz w:val="21"/>
      <w:szCs w:val="22"/>
    </w:rPr>
  </w:style>
  <w:style w:type="paragraph" w:customStyle="1" w:styleId="92">
    <w:name w:val="Body text|1"/>
    <w:basedOn w:val="1"/>
    <w:autoRedefine/>
    <w:qFormat/>
    <w:uiPriority w:val="0"/>
    <w:pPr>
      <w:spacing w:line="439" w:lineRule="auto"/>
      <w:ind w:firstLine="240"/>
    </w:pPr>
    <w:rPr>
      <w:rFonts w:ascii="宋体" w:hAnsi="宋体" w:cs="宋体"/>
      <w:sz w:val="22"/>
      <w:lang w:val="zh-TW" w:eastAsia="zh-TW" w:bidi="zh-TW"/>
    </w:rPr>
  </w:style>
  <w:style w:type="character" w:customStyle="1" w:styleId="93">
    <w:name w:val="NormalCharacter"/>
    <w:autoRedefine/>
    <w:semiHidden/>
    <w:qFormat/>
    <w:uiPriority w:val="0"/>
    <w:rPr>
      <w:rFonts w:ascii="Times New Roman" w:hAnsi="Times New Roman" w:eastAsia="宋体" w:cs="Calibri"/>
      <w:color w:val="000000"/>
      <w:sz w:val="21"/>
      <w:szCs w:val="22"/>
      <w:lang w:val="en-US" w:eastAsia="zh-CN" w:bidi="ar-SA"/>
    </w:rPr>
  </w:style>
  <w:style w:type="paragraph" w:customStyle="1" w:styleId="94">
    <w:name w:val="NormalIndent"/>
    <w:basedOn w:val="1"/>
    <w:autoRedefine/>
    <w:qFormat/>
    <w:uiPriority w:val="0"/>
    <w:pPr>
      <w:ind w:firstLine="420" w:firstLineChars="200"/>
      <w:textAlignment w:val="baseline"/>
    </w:pPr>
    <w:rPr>
      <w:kern w:val="2"/>
      <w:szCs w:val="24"/>
    </w:rPr>
  </w:style>
  <w:style w:type="paragraph" w:customStyle="1" w:styleId="95">
    <w:name w:val="BodyText"/>
    <w:basedOn w:val="1"/>
    <w:next w:val="3"/>
    <w:autoRedefine/>
    <w:qFormat/>
    <w:uiPriority w:val="0"/>
    <w:pPr>
      <w:spacing w:after="120"/>
      <w:textAlignment w:val="baseline"/>
    </w:pPr>
    <w:rPr>
      <w:rFonts w:ascii="宋体"/>
      <w:sz w:val="34"/>
      <w:szCs w:val="20"/>
    </w:rPr>
  </w:style>
  <w:style w:type="paragraph" w:customStyle="1" w:styleId="96">
    <w:name w:val="正文 New New New New New"/>
    <w:basedOn w:val="1"/>
    <w:autoRedefine/>
    <w:qFormat/>
    <w:uiPriority w:val="0"/>
    <w:rPr>
      <w:szCs w:val="21"/>
    </w:rPr>
  </w:style>
  <w:style w:type="character" w:customStyle="1" w:styleId="97">
    <w:name w:val="img"/>
    <w:basedOn w:val="36"/>
    <w:autoRedefine/>
    <w:qFormat/>
    <w:uiPriority w:val="0"/>
  </w:style>
  <w:style w:type="character" w:customStyle="1" w:styleId="98">
    <w:name w:val="img1"/>
    <w:basedOn w:val="36"/>
    <w:autoRedefine/>
    <w:qFormat/>
    <w:uiPriority w:val="0"/>
  </w:style>
  <w:style w:type="paragraph" w:customStyle="1" w:styleId="99">
    <w:name w:val="!正文"/>
    <w:basedOn w:val="1"/>
    <w:autoRedefine/>
    <w:qFormat/>
    <w:uiPriority w:val="0"/>
    <w:pPr>
      <w:adjustRightInd w:val="0"/>
      <w:snapToGrid w:val="0"/>
      <w:spacing w:line="500" w:lineRule="atLeast"/>
      <w:ind w:firstLine="192" w:firstLineChars="192"/>
    </w:pPr>
    <w:rPr>
      <w:rFonts w:ascii="宋体" w:hAnsi="宋体"/>
      <w:kern w:val="2"/>
      <w:sz w:val="28"/>
      <w:szCs w:val="20"/>
    </w:rPr>
  </w:style>
  <w:style w:type="character" w:customStyle="1" w:styleId="100">
    <w:name w:val="无"/>
    <w:autoRedefine/>
    <w:qFormat/>
    <w:uiPriority w:val="0"/>
  </w:style>
  <w:style w:type="paragraph" w:customStyle="1" w:styleId="101">
    <w:name w:val="正文 A A A"/>
    <w:next w:val="46"/>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table" w:customStyle="1" w:styleId="102">
    <w:name w:val="Table Normal"/>
    <w:autoRedefine/>
    <w:unhideWhenUsed/>
    <w:qFormat/>
    <w:uiPriority w:val="0"/>
    <w:tblPr>
      <w:tblCellMar>
        <w:top w:w="0" w:type="dxa"/>
        <w:left w:w="0" w:type="dxa"/>
        <w:bottom w:w="0" w:type="dxa"/>
        <w:right w:w="0" w:type="dxa"/>
      </w:tblCellMar>
    </w:tblPr>
  </w:style>
  <w:style w:type="character" w:customStyle="1" w:styleId="103">
    <w:name w:val="UserStyle_0"/>
    <w:autoRedefine/>
    <w:qFormat/>
    <w:uiPriority w:val="0"/>
    <w:rPr>
      <w:rFonts w:eastAsia="宋体"/>
      <w:kern w:val="2"/>
      <w:sz w:val="21"/>
      <w:szCs w:val="24"/>
      <w:lang w:val="en-US" w:eastAsia="zh-CN" w:bidi="ar-SA"/>
    </w:rPr>
  </w:style>
  <w:style w:type="character" w:customStyle="1" w:styleId="104">
    <w:name w:val="font11"/>
    <w:basedOn w:val="36"/>
    <w:autoRedefine/>
    <w:qFormat/>
    <w:uiPriority w:val="0"/>
    <w:rPr>
      <w:rFonts w:hint="eastAsia" w:ascii="黑体" w:hAnsi="宋体" w:eastAsia="黑体" w:cs="黑体"/>
      <w:color w:val="FF0000"/>
      <w:sz w:val="22"/>
      <w:szCs w:val="22"/>
      <w:u w:val="none"/>
    </w:rPr>
  </w:style>
  <w:style w:type="character" w:customStyle="1" w:styleId="105">
    <w:name w:val="font21"/>
    <w:basedOn w:val="36"/>
    <w:autoRedefine/>
    <w:qFormat/>
    <w:uiPriority w:val="0"/>
    <w:rPr>
      <w:rFonts w:hint="eastAsia" w:ascii="黑体" w:hAnsi="宋体" w:eastAsia="黑体" w:cs="黑体"/>
      <w:color w:val="000000"/>
      <w:sz w:val="22"/>
      <w:szCs w:val="22"/>
      <w:u w:val="none"/>
    </w:rPr>
  </w:style>
  <w:style w:type="paragraph" w:styleId="106">
    <w:name w:val="List Paragraph"/>
    <w:basedOn w:val="1"/>
    <w:autoRedefine/>
    <w:qFormat/>
    <w:uiPriority w:val="34"/>
    <w:pPr>
      <w:spacing w:line="400" w:lineRule="exact"/>
    </w:pPr>
    <w:rPr>
      <w:rFonts w:eastAsia="方正仿宋_GB2312"/>
      <w:sz w:val="24"/>
    </w:rPr>
  </w:style>
  <w:style w:type="character" w:customStyle="1" w:styleId="107">
    <w:name w:val="正文文本 2 字符"/>
    <w:basedOn w:val="36"/>
    <w:link w:val="27"/>
    <w:autoRedefine/>
    <w:qFormat/>
    <w:uiPriority w:val="0"/>
    <w:rPr>
      <w:rFonts w:cs="Calibri"/>
      <w:color w:val="000000"/>
      <w:sz w:val="21"/>
      <w:szCs w:val="22"/>
    </w:rPr>
  </w:style>
  <w:style w:type="paragraph" w:customStyle="1" w:styleId="108">
    <w:name w:val="GW-正文"/>
    <w:autoRedefine/>
    <w:qFormat/>
    <w:uiPriority w:val="0"/>
    <w:pPr>
      <w:spacing w:line="360" w:lineRule="auto"/>
      <w:ind w:firstLine="200"/>
    </w:pPr>
    <w:rPr>
      <w:rFonts w:hint="eastAsia" w:ascii="Arial Unicode MS" w:hAnsi="Arial Unicode MS" w:eastAsia="Times New Roman" w:cs="Arial Unicode MS"/>
      <w:color w:val="000000"/>
      <w:kern w:val="2"/>
      <w:sz w:val="24"/>
      <w:szCs w:val="24"/>
      <w:u w:color="000000"/>
      <w:lang w:val="en-US" w:eastAsia="zh-CN" w:bidi="ar-SA"/>
    </w:rPr>
  </w:style>
  <w:style w:type="character" w:customStyle="1" w:styleId="109">
    <w:name w:val="正文缩进 字符"/>
    <w:link w:val="9"/>
    <w:autoRedefine/>
    <w:qFormat/>
    <w:uiPriority w:val="0"/>
    <w:rPr>
      <w:rFonts w:cs="Calibri"/>
      <w:color w:val="000000"/>
      <w:kern w:val="1"/>
      <w:sz w:val="21"/>
      <w:szCs w:val="22"/>
      <w:lang w:val="zh-CN"/>
    </w:rPr>
  </w:style>
  <w:style w:type="paragraph" w:customStyle="1" w:styleId="110">
    <w:name w:val="修订1"/>
    <w:autoRedefine/>
    <w:hidden/>
    <w:unhideWhenUsed/>
    <w:qFormat/>
    <w:uiPriority w:val="99"/>
    <w:rPr>
      <w:rFonts w:ascii="Times New Roman" w:hAnsi="Times New Roman" w:eastAsia="宋体" w:cs="Calibri"/>
      <w:color w:val="000000"/>
      <w:sz w:val="21"/>
      <w:szCs w:val="22"/>
      <w:lang w:val="en-US" w:eastAsia="zh-CN" w:bidi="ar-SA"/>
    </w:rPr>
  </w:style>
  <w:style w:type="paragraph" w:customStyle="1" w:styleId="111">
    <w:name w:val="修订2"/>
    <w:autoRedefine/>
    <w:hidden/>
    <w:semiHidden/>
    <w:qFormat/>
    <w:uiPriority w:val="99"/>
    <w:rPr>
      <w:rFonts w:ascii="Times New Roman" w:hAnsi="Times New Roman" w:eastAsia="宋体" w:cs="Calibri"/>
      <w:color w:val="000000"/>
      <w:sz w:val="21"/>
      <w:szCs w:val="22"/>
      <w:lang w:val="en-US" w:eastAsia="zh-CN" w:bidi="ar-SA"/>
    </w:rPr>
  </w:style>
  <w:style w:type="paragraph" w:customStyle="1" w:styleId="112">
    <w:name w:val="首页大标题"/>
    <w:basedOn w:val="1"/>
    <w:autoRedefine/>
    <w:qFormat/>
    <w:uiPriority w:val="0"/>
    <w:pPr>
      <w:jc w:val="center"/>
    </w:pPr>
    <w:rPr>
      <w:rFonts w:ascii="黑体" w:hAnsi="Calibri" w:eastAsia="黑体"/>
      <w:b/>
      <w:sz w:val="52"/>
      <w:szCs w:val="28"/>
    </w:rPr>
  </w:style>
  <w:style w:type="paragraph" w:customStyle="1" w:styleId="113">
    <w:name w:val="12、表格内左对齐正文"/>
    <w:basedOn w:val="1"/>
    <w:autoRedefine/>
    <w:qFormat/>
    <w:uiPriority w:val="0"/>
    <w:pPr>
      <w:tabs>
        <w:tab w:val="left" w:pos="0"/>
      </w:tabs>
      <w:wordWrap w:val="0"/>
      <w:topLinePunct/>
      <w:spacing w:line="360" w:lineRule="exact"/>
      <w:ind w:left="48" w:leftChars="20"/>
    </w:pPr>
    <w:rPr>
      <w:rFonts w:ascii="宋体" w:hAnsi="宋体"/>
      <w:snapToGrid w:val="0"/>
    </w:rPr>
  </w:style>
  <w:style w:type="paragraph" w:customStyle="1" w:styleId="11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15">
    <w:name w:val="17“1.”四级标题"/>
    <w:basedOn w:val="116"/>
    <w:autoRedefine/>
    <w:qFormat/>
    <w:uiPriority w:val="0"/>
    <w:pPr>
      <w:numPr>
        <w:ilvl w:val="3"/>
        <w:numId w:val="2"/>
      </w:numPr>
      <w:ind w:firstLine="803"/>
    </w:pPr>
  </w:style>
  <w:style w:type="paragraph" w:customStyle="1" w:styleId="116">
    <w:name w:val="02、首行缩进2字符正文"/>
    <w:basedOn w:val="1"/>
    <w:autoRedefine/>
    <w:qFormat/>
    <w:uiPriority w:val="0"/>
    <w:pPr>
      <w:tabs>
        <w:tab w:val="left" w:pos="0"/>
      </w:tabs>
      <w:wordWrap w:val="0"/>
      <w:topLinePunct/>
      <w:adjustRightInd w:val="0"/>
      <w:snapToGrid w:val="0"/>
      <w:spacing w:line="440" w:lineRule="exact"/>
      <w:ind w:firstLine="480" w:firstLineChars="200"/>
      <w:jc w:val="left"/>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0.xml"/><Relationship Id="rId32" Type="http://schemas.openxmlformats.org/officeDocument/2006/relationships/header" Target="header21.xml"/><Relationship Id="rId31" Type="http://schemas.openxmlformats.org/officeDocument/2006/relationships/header" Target="header20.xml"/><Relationship Id="rId30" Type="http://schemas.openxmlformats.org/officeDocument/2006/relationships/header" Target="header19.xml"/><Relationship Id="rId3" Type="http://schemas.openxmlformats.org/officeDocument/2006/relationships/header" Target="header1.xml"/><Relationship Id="rId29" Type="http://schemas.openxmlformats.org/officeDocument/2006/relationships/footer" Target="footer9.xml"/><Relationship Id="rId28" Type="http://schemas.openxmlformats.org/officeDocument/2006/relationships/header" Target="header18.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header" Target="header15.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footer" Target="footer7.xml"/><Relationship Id="rId21" Type="http://schemas.openxmlformats.org/officeDocument/2006/relationships/header" Target="header13.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54</Pages>
  <Words>3934</Words>
  <Characters>4409</Characters>
  <Lines>202</Lines>
  <Paragraphs>57</Paragraphs>
  <TotalTime>148</TotalTime>
  <ScaleCrop>false</ScaleCrop>
  <LinksUpToDate>false</LinksUpToDate>
  <CharactersWithSpaces>4457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2025-05-22T03:08:00Z</dcterms:created>
  <dc:creator>Windows 用户</dc:creator>
  <cp:lastModifiedBy>梁小龙</cp:lastModifiedBy>
  <cp:lastPrinted>2023-10-07T12:47:00Z</cp:lastPrinted>
  <dcterms:modified xsi:type="dcterms:W3CDTF">2026-06-02T03:23:45Z</dcterms:modified>
  <dc:title>采购项目编号：具体详见采购公告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1E927312FC774B1DB891376DB7B56FCB_13</vt:lpwstr>
  </property>
  <property fmtid="{D5CDD505-2E9C-101B-9397-08002B2CF9AE}" pid="4" name="KSOTemplateDocerSaveRecord">
    <vt:lpwstr>eyJoZGlkIjoiNTg4MDQ0Nzk4YmJlNTkwMTMzMGE0OWJhZDQxZjcyNTUiLCJ1c2VySWQiOiIxNzE5NzE5NjE4In0=</vt:lpwstr>
  </property>
</Properties>
</file>